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2AD81" w14:textId="48D80732" w:rsidR="008914E9" w:rsidRDefault="008914E9" w:rsidP="008914E9">
      <w:pPr>
        <w:pStyle w:val="Heading1"/>
        <w:numPr>
          <w:ilvl w:val="0"/>
          <w:numId w:val="0"/>
        </w:numPr>
      </w:pPr>
      <w:r>
        <w:t>Appendix A: Methods 3</w:t>
      </w:r>
    </w:p>
    <w:p w14:paraId="02A471E7" w14:textId="77777777" w:rsidR="00FA7245" w:rsidRDefault="00FA7245" w:rsidP="00FA7245">
      <w:pPr>
        <w:rPr>
          <w:i/>
          <w:iCs/>
        </w:rPr>
      </w:pPr>
    </w:p>
    <w:p w14:paraId="2E85AD99" w14:textId="1CC18476" w:rsidR="00FA7245" w:rsidRDefault="00FA7245" w:rsidP="00FA7245">
      <w:pPr>
        <w:rPr>
          <w:i/>
          <w:iCs/>
        </w:rPr>
      </w:pPr>
      <w:r>
        <w:rPr>
          <w:i/>
          <w:iCs/>
        </w:rPr>
        <w:t xml:space="preserve">Appendix A: Methods 3 details the </w:t>
      </w:r>
      <w:r w:rsidRPr="004E4C1D">
        <w:rPr>
          <w:i/>
          <w:iCs/>
        </w:rPr>
        <w:t>methods</w:t>
      </w:r>
      <w:r>
        <w:rPr>
          <w:i/>
          <w:iCs/>
        </w:rPr>
        <w:t xml:space="preserve"> underlying the bacterialBercow pipeline which was</w:t>
      </w:r>
      <w:r w:rsidRPr="004E4C1D">
        <w:rPr>
          <w:i/>
          <w:iCs/>
        </w:rPr>
        <w:t xml:space="preserve"> </w:t>
      </w:r>
      <w:r>
        <w:rPr>
          <w:i/>
          <w:iCs/>
        </w:rPr>
        <w:t xml:space="preserve">used </w:t>
      </w:r>
      <w:r w:rsidRPr="004E4C1D">
        <w:rPr>
          <w:i/>
          <w:iCs/>
        </w:rPr>
        <w:t xml:space="preserve">for retrieval, curation, and analysis of the </w:t>
      </w:r>
      <w:r>
        <w:rPr>
          <w:i/>
          <w:iCs/>
        </w:rPr>
        <w:t>bacterial</w:t>
      </w:r>
      <w:r w:rsidRPr="004E4C1D">
        <w:rPr>
          <w:i/>
          <w:iCs/>
        </w:rPr>
        <w:t xml:space="preserve"> plasmid dataset</w:t>
      </w:r>
      <w:r>
        <w:rPr>
          <w:i/>
          <w:iCs/>
        </w:rPr>
        <w:t>, retrieved in 2019.</w:t>
      </w:r>
    </w:p>
    <w:p w14:paraId="59619AA6" w14:textId="77777777" w:rsidR="00FA7245" w:rsidRDefault="00FA7245" w:rsidP="00FA7245">
      <w:pPr>
        <w:rPr>
          <w:i/>
          <w:iCs/>
        </w:rPr>
      </w:pPr>
    </w:p>
    <w:p w14:paraId="1076CADE" w14:textId="77777777" w:rsidR="00FA7245" w:rsidRPr="00560DEB" w:rsidRDefault="00FA7245" w:rsidP="00FA7245">
      <w:pPr>
        <w:rPr>
          <w:b/>
          <w:bCs/>
        </w:rPr>
      </w:pPr>
      <w:r>
        <w:rPr>
          <w:b/>
          <w:bCs/>
        </w:rPr>
        <w:t>bacterialBercow pipeline for curating NCBI plasmids</w:t>
      </w:r>
    </w:p>
    <w:p w14:paraId="38516417" w14:textId="4816DCF4" w:rsidR="00FA7245" w:rsidRDefault="00C86828" w:rsidP="00FA7245">
      <w:pPr>
        <w:spacing w:line="480" w:lineRule="auto"/>
        <w:jc w:val="both"/>
        <w:rPr>
          <w:rFonts w:cstheme="minorHAnsi"/>
          <w:shd w:val="clear" w:color="auto" w:fill="FFFFFF"/>
        </w:rPr>
      </w:pPr>
      <w:r>
        <w:rPr>
          <w:rFonts w:cstheme="minorHAnsi"/>
        </w:rPr>
        <w:t>Plasmid c</w:t>
      </w:r>
      <w:r w:rsidR="00FA7245">
        <w:rPr>
          <w:rFonts w:cstheme="minorHAnsi"/>
        </w:rPr>
        <w:t xml:space="preserve">uration methods were packaged into a software tool for curation and characterisation of bacterial sequence assemblies, called </w:t>
      </w:r>
      <w:r w:rsidR="00FA7245" w:rsidRPr="0033378D">
        <w:rPr>
          <w:rFonts w:cstheme="minorHAnsi"/>
        </w:rPr>
        <w:t>bacterialBercow</w:t>
      </w:r>
      <w:r w:rsidR="00FA7245">
        <w:rPr>
          <w:rFonts w:cstheme="minorHAnsi"/>
        </w:rPr>
        <w:t xml:space="preserve"> (</w:t>
      </w:r>
      <w:hyperlink r:id="rId7" w:history="1">
        <w:r w:rsidR="00FA7245" w:rsidRPr="00FD0A36">
          <w:rPr>
            <w:rStyle w:val="Hyperlink"/>
          </w:rPr>
          <w:t>https://github.com/AlexOrlek/bacterialBercow</w:t>
        </w:r>
      </w:hyperlink>
      <w:r w:rsidR="00FA7245">
        <w:t>)</w:t>
      </w:r>
      <w:r w:rsidR="00FA7245">
        <w:rPr>
          <w:rStyle w:val="FootnoteReference"/>
          <w:rFonts w:cstheme="minorHAnsi"/>
        </w:rPr>
        <w:footnoteReference w:id="1"/>
      </w:r>
      <w:r w:rsidR="00FA7245">
        <w:rPr>
          <w:rFonts w:cstheme="minorHAnsi"/>
        </w:rPr>
        <w:t xml:space="preserve">. </w:t>
      </w:r>
      <w:r w:rsidR="00FA7245" w:rsidRPr="0033378D">
        <w:rPr>
          <w:rFonts w:cstheme="minorHAnsi"/>
        </w:rPr>
        <w:t xml:space="preserve"> </w:t>
      </w:r>
      <w:r w:rsidR="00FA7245">
        <w:rPr>
          <w:rFonts w:cstheme="minorHAnsi"/>
        </w:rPr>
        <w:t xml:space="preserve">bacterialBercow </w:t>
      </w:r>
      <w:r w:rsidR="00FA7245" w:rsidRPr="0033378D">
        <w:rPr>
          <w:rFonts w:cstheme="minorHAnsi"/>
        </w:rPr>
        <w:t xml:space="preserve">broadly follows the </w:t>
      </w:r>
      <w:r w:rsidR="00FA7245">
        <w:rPr>
          <w:rFonts w:cstheme="minorHAnsi"/>
        </w:rPr>
        <w:t>original curation methods</w:t>
      </w:r>
      <w:r w:rsidR="00FA7245" w:rsidRPr="0033378D">
        <w:rPr>
          <w:rFonts w:cstheme="minorHAnsi"/>
        </w:rPr>
        <w:t xml:space="preserve"> </w:t>
      </w:r>
      <w:r w:rsidR="00FA7245">
        <w:rPr>
          <w:rFonts w:cstheme="minorHAnsi"/>
        </w:rPr>
        <w:t xml:space="preserve">described </w:t>
      </w:r>
      <w:r w:rsidR="00FA7245" w:rsidRPr="0033378D">
        <w:rPr>
          <w:rFonts w:cstheme="minorHAnsi"/>
        </w:rPr>
        <w:t>in</w:t>
      </w:r>
      <w:r w:rsidR="00FA7245">
        <w:rPr>
          <w:rFonts w:cstheme="minorHAnsi"/>
        </w:rPr>
        <w:t xml:space="preserve"> Section 2.3.1.</w:t>
      </w:r>
      <w:r w:rsidR="00FA7245" w:rsidRPr="0033378D">
        <w:rPr>
          <w:rFonts w:cstheme="minorHAnsi"/>
        </w:rPr>
        <w:t xml:space="preserve"> </w:t>
      </w:r>
      <w:r w:rsidR="00FA7245">
        <w:rPr>
          <w:rFonts w:cstheme="minorHAnsi"/>
        </w:rPr>
        <w:t>F</w:t>
      </w:r>
      <w:r w:rsidR="00FA7245" w:rsidRPr="0033378D">
        <w:rPr>
          <w:rFonts w:cstheme="minorHAnsi"/>
        </w:rPr>
        <w:t xml:space="preserve">irstly, putative plasmids are retrieved using an </w:t>
      </w:r>
      <w:r w:rsidR="00FA7245">
        <w:rPr>
          <w:rFonts w:cstheme="minorHAnsi"/>
        </w:rPr>
        <w:t>E</w:t>
      </w:r>
      <w:r w:rsidR="00FA7245" w:rsidRPr="0033378D">
        <w:rPr>
          <w:rFonts w:cstheme="minorHAnsi"/>
        </w:rPr>
        <w:t>direct Entrez query, and</w:t>
      </w:r>
      <w:r w:rsidR="00FA7245">
        <w:rPr>
          <w:rFonts w:cstheme="minorHAnsi"/>
        </w:rPr>
        <w:t xml:space="preserve"> non-plasmid/non-complete plasmid accessions are excluded using the regular expression term given below (</w:t>
      </w:r>
      <w:proofErr w:type="gramStart"/>
      <w:r w:rsidR="00FA7245">
        <w:rPr>
          <w:rFonts w:cstheme="minorHAnsi"/>
        </w:rPr>
        <w:t>similar to</w:t>
      </w:r>
      <w:proofErr w:type="gramEnd"/>
      <w:r w:rsidR="00FA7245">
        <w:rPr>
          <w:rFonts w:cstheme="minorHAnsi"/>
        </w:rPr>
        <w:t xml:space="preserve"> the regular expression used</w:t>
      </w:r>
      <w:r w:rsidR="00FA7245" w:rsidRPr="002E5684">
        <w:rPr>
          <w:rFonts w:cstheme="minorHAnsi"/>
          <w:shd w:val="clear" w:color="auto" w:fill="FFFFFF"/>
        </w:rPr>
        <w:t xml:space="preserve"> </w:t>
      </w:r>
      <w:r w:rsidR="00FA7245">
        <w:rPr>
          <w:rFonts w:cstheme="minorHAnsi"/>
          <w:shd w:val="clear" w:color="auto" w:fill="FFFFFF"/>
        </w:rPr>
        <w:t>previously):</w:t>
      </w:r>
    </w:p>
    <w:p w14:paraId="25799E19" w14:textId="77777777" w:rsidR="00FA7245" w:rsidRPr="002C028D" w:rsidRDefault="00FA7245" w:rsidP="00FA7245">
      <w:pPr>
        <w:rPr>
          <w:rFonts w:cstheme="minorHAnsi"/>
          <w:sz w:val="18"/>
          <w:szCs w:val="18"/>
        </w:rPr>
      </w:pPr>
      <w:proofErr w:type="gramStart"/>
      <w:r w:rsidRPr="002C028D">
        <w:rPr>
          <w:rFonts w:cstheme="minorHAnsi"/>
          <w:sz w:val="18"/>
          <w:szCs w:val="18"/>
        </w:rPr>
        <w:t>re.compile</w:t>
      </w:r>
      <w:proofErr w:type="gramEnd"/>
      <w:r w:rsidRPr="002C028D">
        <w:rPr>
          <w:rFonts w:cstheme="minorHAnsi"/>
          <w:sz w:val="18"/>
          <w:szCs w:val="18"/>
        </w:rPr>
        <w:t xml:space="preserve">(r'\bcontig\b|\bscaffold\b|\bgenes?\b|\bintegrons?\b|\btransposons?\b|insertion sequences?|insertion elements?|\bphages?\b|\boperons?\b|\bpartial\b|\bregions?\b|\bfragments?\b|\blocus\b|\bloci\b|whole genome </w:t>
      </w:r>
      <w:proofErr w:type="spellStart"/>
      <w:r w:rsidRPr="002C028D">
        <w:rPr>
          <w:rFonts w:cstheme="minorHAnsi"/>
          <w:sz w:val="18"/>
          <w:szCs w:val="18"/>
        </w:rPr>
        <w:t>shotgun|whole</w:t>
      </w:r>
      <w:proofErr w:type="spellEnd"/>
      <w:r w:rsidRPr="002C028D">
        <w:rPr>
          <w:rFonts w:cstheme="minorHAnsi"/>
          <w:sz w:val="18"/>
          <w:szCs w:val="18"/>
        </w:rPr>
        <w:t xml:space="preserve"> genome map|\</w:t>
      </w:r>
      <w:proofErr w:type="spellStart"/>
      <w:r w:rsidRPr="002C028D">
        <w:rPr>
          <w:rFonts w:cstheme="minorHAnsi"/>
          <w:sz w:val="18"/>
          <w:szCs w:val="18"/>
        </w:rPr>
        <w:t>bartificial</w:t>
      </w:r>
      <w:proofErr w:type="spellEnd"/>
      <w:r w:rsidRPr="002C028D">
        <w:rPr>
          <w:rFonts w:cstheme="minorHAnsi"/>
          <w:sz w:val="18"/>
          <w:szCs w:val="18"/>
        </w:rPr>
        <w:t>\b|\</w:t>
      </w:r>
      <w:proofErr w:type="spellStart"/>
      <w:r w:rsidRPr="002C028D">
        <w:rPr>
          <w:rFonts w:cstheme="minorHAnsi"/>
          <w:sz w:val="18"/>
          <w:szCs w:val="18"/>
        </w:rPr>
        <w:t>bsynthetic</w:t>
      </w:r>
      <w:proofErr w:type="spellEnd"/>
      <w:r w:rsidRPr="002C028D">
        <w:rPr>
          <w:rFonts w:cstheme="minorHAnsi"/>
          <w:sz w:val="18"/>
          <w:szCs w:val="18"/>
        </w:rPr>
        <w:t>\b|\</w:t>
      </w:r>
      <w:proofErr w:type="spellStart"/>
      <w:r w:rsidRPr="002C028D">
        <w:rPr>
          <w:rFonts w:cstheme="minorHAnsi"/>
          <w:sz w:val="18"/>
          <w:szCs w:val="18"/>
        </w:rPr>
        <w:t>bvector</w:t>
      </w:r>
      <w:proofErr w:type="spellEnd"/>
      <w:r w:rsidRPr="002C028D">
        <w:rPr>
          <w:rFonts w:cstheme="minorHAnsi"/>
          <w:sz w:val="18"/>
          <w:szCs w:val="18"/>
        </w:rPr>
        <w:t>\b',</w:t>
      </w:r>
      <w:proofErr w:type="spellStart"/>
      <w:r w:rsidRPr="002C028D">
        <w:rPr>
          <w:rFonts w:cstheme="minorHAnsi"/>
          <w:sz w:val="18"/>
          <w:szCs w:val="18"/>
        </w:rPr>
        <w:t>re.I</w:t>
      </w:r>
      <w:proofErr w:type="spellEnd"/>
      <w:r w:rsidRPr="002C028D">
        <w:rPr>
          <w:rFonts w:cstheme="minorHAnsi"/>
          <w:sz w:val="18"/>
          <w:szCs w:val="18"/>
        </w:rPr>
        <w:t>)</w:t>
      </w:r>
    </w:p>
    <w:p w14:paraId="45B2F375" w14:textId="77777777" w:rsidR="00FA7245" w:rsidRDefault="00FA7245" w:rsidP="00FA7245">
      <w:pPr>
        <w:spacing w:line="480" w:lineRule="auto"/>
        <w:jc w:val="both"/>
        <w:rPr>
          <w:rFonts w:cstheme="minorHAnsi"/>
          <w:shd w:val="clear" w:color="auto" w:fill="FFFFFF"/>
        </w:rPr>
      </w:pPr>
      <w:r>
        <w:rPr>
          <w:rFonts w:cstheme="minorHAnsi"/>
          <w:shd w:val="clear" w:color="auto" w:fill="FFFFFF"/>
        </w:rPr>
        <w:br/>
        <w:t>In line with original methods</w:t>
      </w:r>
      <w:r w:rsidRPr="002E5684">
        <w:rPr>
          <w:rFonts w:cstheme="minorHAnsi"/>
          <w:shd w:val="clear" w:color="auto" w:fill="FFFFFF"/>
        </w:rPr>
        <w:t xml:space="preserve">, identical sequences are deduplicated, favouring retention of </w:t>
      </w:r>
      <w:proofErr w:type="spellStart"/>
      <w:r w:rsidRPr="002E5684">
        <w:rPr>
          <w:rFonts w:cstheme="minorHAnsi"/>
          <w:shd w:val="clear" w:color="auto" w:fill="FFFFFF"/>
        </w:rPr>
        <w:t>RefSeq</w:t>
      </w:r>
      <w:proofErr w:type="spellEnd"/>
      <w:r w:rsidRPr="002E5684">
        <w:rPr>
          <w:rFonts w:cstheme="minorHAnsi"/>
          <w:shd w:val="clear" w:color="auto" w:fill="FFFFFF"/>
        </w:rPr>
        <w:t xml:space="preserve"> over GenBank accessions. However, </w:t>
      </w:r>
      <w:proofErr w:type="spellStart"/>
      <w:r w:rsidRPr="002E5684">
        <w:rPr>
          <w:rFonts w:cstheme="minorHAnsi"/>
          <w:shd w:val="clear" w:color="auto" w:fill="FFFFFF"/>
        </w:rPr>
        <w:t>baterialBercow</w:t>
      </w:r>
      <w:proofErr w:type="spellEnd"/>
      <w:r w:rsidRPr="002E5684">
        <w:rPr>
          <w:rFonts w:cstheme="minorHAnsi"/>
          <w:shd w:val="clear" w:color="auto" w:fill="FFFFFF"/>
        </w:rPr>
        <w:t xml:space="preserve"> enables more flexibility. The simplest approach (used</w:t>
      </w:r>
      <w:r>
        <w:rPr>
          <w:rFonts w:cstheme="minorHAnsi"/>
          <w:shd w:val="clear" w:color="auto" w:fill="FFFFFF"/>
        </w:rPr>
        <w:t xml:space="preserve"> originally</w:t>
      </w:r>
      <w:r w:rsidRPr="002E5684">
        <w:rPr>
          <w:rFonts w:cstheme="minorHAnsi"/>
          <w:shd w:val="clear" w:color="auto" w:fill="FFFFFF"/>
        </w:rPr>
        <w:t xml:space="preserve">) is to deduplicate all sequences </w:t>
      </w:r>
      <w:proofErr w:type="gramStart"/>
      <w:r w:rsidRPr="002E5684">
        <w:rPr>
          <w:rFonts w:cstheme="minorHAnsi"/>
          <w:shd w:val="clear" w:color="auto" w:fill="FFFFFF"/>
        </w:rPr>
        <w:t>i.e.</w:t>
      </w:r>
      <w:proofErr w:type="gramEnd"/>
      <w:r w:rsidRPr="002E5684">
        <w:rPr>
          <w:rFonts w:cstheme="minorHAnsi"/>
          <w:shd w:val="clear" w:color="auto" w:fill="FFFFFF"/>
        </w:rPr>
        <w:t xml:space="preserve"> select a single representative sequence from each set of duplicates. However, this could exclude interesting examples of plasmid transmission. Obviously, mutation means that independent recovery of the same plasmid sequence </w:t>
      </w:r>
      <w:r>
        <w:rPr>
          <w:rFonts w:cstheme="minorHAnsi"/>
          <w:shd w:val="clear" w:color="auto" w:fill="FFFFFF"/>
        </w:rPr>
        <w:t>is likely to be</w:t>
      </w:r>
      <w:r w:rsidRPr="002E5684">
        <w:rPr>
          <w:rFonts w:cstheme="minorHAnsi"/>
          <w:shd w:val="clear" w:color="auto" w:fill="FFFFFF"/>
        </w:rPr>
        <w:t xml:space="preserve"> rare (especially for longer sequences). However, cases of identical plasmids collected independently by different research groups have been reported </w:t>
      </w:r>
      <w:r w:rsidRPr="002E5684">
        <w:rPr>
          <w:rFonts w:cstheme="minorHAnsi"/>
          <w:shd w:val="clear" w:color="auto" w:fill="FFFFFF"/>
        </w:rPr>
        <w:fldChar w:fldCharType="begin" w:fldLock="1"/>
      </w:r>
      <w:r w:rsidRPr="002E5684">
        <w:rPr>
          <w:rFonts w:cstheme="minorHAnsi"/>
          <w:shd w:val="clear" w:color="auto" w:fill="FFFFFF"/>
        </w:rPr>
        <w:instrText>ADDIN CSL_CITATION {"citationItems":[{"id":"ITEM-1","itemData":{"DOI":"10.1128/mra.00051-19","ISSN":"2576-098X","abstract":" Plasmids play a crucial role in the evolution of bacterial genomes by mediating horizontal gene transfer. In this work, we sequenced two plasmids found in a Brazilian Bacillus thuringiensis serovar israelensis strain which showed 100% nucleotide identities with Bacillus thuringiensis serovar kurstaki plasmids. ","author":[{"dropping-particle":"","family":"Campos","given":"Fabrício S.","non-dropping-particle":"","parse-names":false,"suffix":""},{"dropping-particle":"","family":"Cerqueira","given":"Fernando B.","non-dropping-particle":"","parse-names":false,"suffix":""},{"dropping-particle":"","family":"Santos","given":"Gil R.","non-dropping-particle":"","parse-names":false,"suffix":""},{"dropping-particle":"","family":"Pereira","given":"Eliseu J. G.","non-dropping-particle":"","parse-names":false,"suffix":""},{"dropping-particle":"","family":"Corrêia","given":"Roberto F. T.","non-dropping-particle":"","parse-names":false,"suffix":""},{"dropping-particle":"","family":"Cangussu","given":"Alex S. R.","non-dropping-particle":"","parse-names":false,"suffix":""},{"dropping-particle":"","family":"Melo","given":"Fernando L.","non-dropping-particle":"","parse-names":false,"suffix":""},{"dropping-particle":"","family":"Ribeiro","given":"Bergmann M.","non-dropping-particle":"","parse-names":false,"suffix":""},{"dropping-particle":"","family":"Aguiar","given":"Raimundo W. S.","non-dropping-particle":"","parse-names":false,"suffix":""}],"container-title":"Microbiology Resource Announcements","id":"ITEM-1","issued":{"date-parts":[["2019"]]},"title":" Complete Sequences of Two Plasmids Found in a Brazilian Bacillus thuringiensis Serovar israelensis Strain ","type":"article-journal"},"uris":["http://www.mendeley.com/documents/?uuid=087b7f9d-801c-4e41-8216-de590b243be6"]}],"mendeley":{"formattedCitation":"(Campos et al., 2019)","plainTextFormattedCitation":"(Campos et al., 2019)","previouslyFormattedCitation":"(Campos et al., 2019)"},"properties":{"noteIndex":0},"schema":"https://github.com/citation-style-language/schema/raw/master/csl-citation.json"}</w:instrText>
      </w:r>
      <w:r w:rsidRPr="002E5684">
        <w:rPr>
          <w:rFonts w:cstheme="minorHAnsi"/>
          <w:shd w:val="clear" w:color="auto" w:fill="FFFFFF"/>
        </w:rPr>
        <w:fldChar w:fldCharType="separate"/>
      </w:r>
      <w:r w:rsidRPr="002E5684">
        <w:rPr>
          <w:rFonts w:cstheme="minorHAnsi"/>
          <w:noProof/>
          <w:shd w:val="clear" w:color="auto" w:fill="FFFFFF"/>
        </w:rPr>
        <w:t>(Campos et al., 2019)</w:t>
      </w:r>
      <w:r w:rsidRPr="002E5684">
        <w:rPr>
          <w:rFonts w:cstheme="minorHAnsi"/>
          <w:shd w:val="clear" w:color="auto" w:fill="FFFFFF"/>
        </w:rPr>
        <w:fldChar w:fldCharType="end"/>
      </w:r>
      <w:r w:rsidRPr="002E5684">
        <w:rPr>
          <w:rFonts w:cstheme="minorHAnsi"/>
          <w:shd w:val="clear" w:color="auto" w:fill="FFFFFF"/>
        </w:rPr>
        <w:t xml:space="preserve">. The default deduplication strategy in bacterialBercow is to use a repertoire of information with the aim of stringently ensuring </w:t>
      </w:r>
      <w:r w:rsidRPr="002E5684">
        <w:rPr>
          <w:rFonts w:cstheme="minorHAnsi"/>
          <w:shd w:val="clear" w:color="auto" w:fill="FFFFFF"/>
        </w:rPr>
        <w:lastRenderedPageBreak/>
        <w:t xml:space="preserve">that only </w:t>
      </w:r>
      <w:r>
        <w:rPr>
          <w:rFonts w:cstheme="minorHAnsi"/>
          <w:shd w:val="clear" w:color="auto" w:fill="FFFFFF"/>
        </w:rPr>
        <w:t>non-redundant independently isolated identical sequences</w:t>
      </w:r>
      <w:r w:rsidRPr="002E5684">
        <w:rPr>
          <w:rFonts w:cstheme="minorHAnsi"/>
          <w:shd w:val="clear" w:color="auto" w:fill="FFFFFF"/>
        </w:rPr>
        <w:t xml:space="preserve"> are retained. Specifically, </w:t>
      </w:r>
      <w:r>
        <w:rPr>
          <w:rFonts w:cstheme="minorHAnsi"/>
          <w:shd w:val="clear" w:color="auto" w:fill="FFFFFF"/>
        </w:rPr>
        <w:t xml:space="preserve">identical </w:t>
      </w:r>
      <w:r w:rsidRPr="002E5684">
        <w:rPr>
          <w:rFonts w:cstheme="minorHAnsi"/>
          <w:shd w:val="clear" w:color="auto" w:fill="FFFFFF"/>
        </w:rPr>
        <w:t xml:space="preserve">sequences are deduplicated </w:t>
      </w:r>
      <w:r>
        <w:rPr>
          <w:rFonts w:cstheme="minorHAnsi"/>
          <w:shd w:val="clear" w:color="auto" w:fill="FFFFFF"/>
        </w:rPr>
        <w:t xml:space="preserve">unless they have different (and non-missing) metadata across </w:t>
      </w:r>
      <w:proofErr w:type="gramStart"/>
      <w:r>
        <w:rPr>
          <w:rFonts w:cstheme="minorHAnsi"/>
          <w:shd w:val="clear" w:color="auto" w:fill="FFFFFF"/>
        </w:rPr>
        <w:t>all of</w:t>
      </w:r>
      <w:proofErr w:type="gramEnd"/>
      <w:r>
        <w:rPr>
          <w:rFonts w:cstheme="minorHAnsi"/>
          <w:shd w:val="clear" w:color="auto" w:fill="FFFFFF"/>
        </w:rPr>
        <w:t xml:space="preserve"> the following fields:</w:t>
      </w:r>
      <w:r w:rsidRPr="002E5684">
        <w:rPr>
          <w:rFonts w:cstheme="minorHAnsi"/>
          <w:shd w:val="clear" w:color="auto" w:fill="FFFFFF"/>
        </w:rPr>
        <w:t xml:space="preserve"> BioSample accession id, </w:t>
      </w:r>
      <w:proofErr w:type="spellStart"/>
      <w:r w:rsidRPr="002E5684">
        <w:rPr>
          <w:rFonts w:cstheme="minorHAnsi"/>
          <w:shd w:val="clear" w:color="auto" w:fill="FFFFFF"/>
        </w:rPr>
        <w:t>BioProject</w:t>
      </w:r>
      <w:proofErr w:type="spellEnd"/>
      <w:r w:rsidRPr="002E5684">
        <w:rPr>
          <w:rFonts w:cstheme="minorHAnsi"/>
          <w:shd w:val="clear" w:color="auto" w:fill="FFFFFF"/>
        </w:rPr>
        <w:t xml:space="preserve"> accession id, submitter contact name</w:t>
      </w:r>
      <w:r>
        <w:rPr>
          <w:rFonts w:cstheme="minorHAnsi"/>
          <w:shd w:val="clear" w:color="auto" w:fill="FFFFFF"/>
        </w:rPr>
        <w:t>, and</w:t>
      </w:r>
      <w:r w:rsidRPr="002E5684">
        <w:rPr>
          <w:rFonts w:cstheme="minorHAnsi"/>
          <w:shd w:val="clear" w:color="auto" w:fill="FFFFFF"/>
        </w:rPr>
        <w:t xml:space="preserve"> submitter affiliation name</w:t>
      </w:r>
      <w:r>
        <w:rPr>
          <w:rFonts w:cstheme="minorHAnsi"/>
          <w:shd w:val="clear" w:color="auto" w:fill="FFFFFF"/>
        </w:rPr>
        <w:t xml:space="preserve"> (submitter metadata is f</w:t>
      </w:r>
      <w:r w:rsidRPr="002E5684">
        <w:rPr>
          <w:rFonts w:cstheme="minorHAnsi"/>
          <w:shd w:val="clear" w:color="auto" w:fill="FFFFFF"/>
        </w:rPr>
        <w:t xml:space="preserve">rom the BioSample “Owner” field). </w:t>
      </w:r>
      <w:r>
        <w:rPr>
          <w:rFonts w:cstheme="minorHAnsi"/>
          <w:shd w:val="clear" w:color="auto" w:fill="FFFFFF"/>
        </w:rPr>
        <w:t xml:space="preserve">In </w:t>
      </w:r>
      <w:proofErr w:type="spellStart"/>
      <w:r w:rsidRPr="002E5684">
        <w:rPr>
          <w:rFonts w:cstheme="minorHAnsi"/>
          <w:shd w:val="clear" w:color="auto" w:fill="FFFFFF"/>
        </w:rPr>
        <w:t>RefSeq</w:t>
      </w:r>
      <w:proofErr w:type="spellEnd"/>
      <w:r w:rsidRPr="002E5684">
        <w:rPr>
          <w:rFonts w:cstheme="minorHAnsi"/>
          <w:shd w:val="clear" w:color="auto" w:fill="FFFFFF"/>
        </w:rPr>
        <w:t xml:space="preserve">, higher-level </w:t>
      </w:r>
      <w:proofErr w:type="spellStart"/>
      <w:r w:rsidRPr="002E5684">
        <w:rPr>
          <w:rFonts w:cstheme="minorHAnsi"/>
          <w:shd w:val="clear" w:color="auto" w:fill="FFFFFF"/>
        </w:rPr>
        <w:t>BioProject</w:t>
      </w:r>
      <w:proofErr w:type="spellEnd"/>
      <w:r w:rsidRPr="002E5684">
        <w:rPr>
          <w:rFonts w:cstheme="minorHAnsi"/>
          <w:shd w:val="clear" w:color="auto" w:fill="FFFFFF"/>
        </w:rPr>
        <w:t xml:space="preserve"> accessions can be created by NCBI staff, encompassing broad sequence data collections </w:t>
      </w:r>
      <w:r w:rsidRPr="002E5684">
        <w:rPr>
          <w:rFonts w:cstheme="minorHAnsi"/>
          <w:shd w:val="clear" w:color="auto" w:fill="FFFFFF"/>
        </w:rPr>
        <w:fldChar w:fldCharType="begin" w:fldLock="1"/>
      </w:r>
      <w:r w:rsidRPr="002E5684">
        <w:rPr>
          <w:rFonts w:cstheme="minorHAnsi"/>
          <w:shd w:val="clear" w:color="auto" w:fill="FFFFFF"/>
        </w:rPr>
        <w:instrText>ADDIN CSL_CITATION {"citationItems":[{"id":"ITEM-1","itemData":{"URL":"https://www.ncbi.nlm.nih.gov/bioproject/docs/faq/#what-is-project-type","accessed":{"date-parts":[["2020","2","10"]]},"author":[{"dropping-particle":"","family":"NCBI","given":"","non-dropping-particle":"","parse-names":false,"suffix":""}],"id":"ITEM-1","issued":{"date-parts":[["2020"]]},"title":"BioProject Frequently Asked Question: What is Project Type?","type":"webpage"},"uris":["http://www.mendeley.com/documents/?uuid=59e2b1b9-b670-428e-ab42-4dc0dbe5ccf1"]}],"mendeley":{"formattedCitation":"(NCBI, 2020)","plainTextFormattedCitation":"(NCBI, 2020)","previouslyFormattedCitation":"(NCBI, 2020)"},"properties":{"noteIndex":0},"schema":"https://github.com/citation-style-language/schema/raw/master/csl-citation.json"}</w:instrText>
      </w:r>
      <w:r w:rsidRPr="002E5684">
        <w:rPr>
          <w:rFonts w:cstheme="minorHAnsi"/>
          <w:shd w:val="clear" w:color="auto" w:fill="FFFFFF"/>
        </w:rPr>
        <w:fldChar w:fldCharType="separate"/>
      </w:r>
      <w:r w:rsidRPr="002E5684">
        <w:rPr>
          <w:rFonts w:cstheme="minorHAnsi"/>
          <w:noProof/>
          <w:shd w:val="clear" w:color="auto" w:fill="FFFFFF"/>
        </w:rPr>
        <w:t>(NCBI, 2020)</w:t>
      </w:r>
      <w:r w:rsidRPr="002E5684">
        <w:rPr>
          <w:rFonts w:cstheme="minorHAnsi"/>
          <w:shd w:val="clear" w:color="auto" w:fill="FFFFFF"/>
        </w:rPr>
        <w:fldChar w:fldCharType="end"/>
      </w:r>
      <w:r w:rsidRPr="002E5684">
        <w:rPr>
          <w:rFonts w:cstheme="minorHAnsi"/>
          <w:shd w:val="clear" w:color="auto" w:fill="FFFFFF"/>
        </w:rPr>
        <w:t xml:space="preserve"> (e.g. </w:t>
      </w:r>
      <w:proofErr w:type="spellStart"/>
      <w:r w:rsidRPr="002E5684">
        <w:rPr>
          <w:rFonts w:cstheme="minorHAnsi"/>
          <w:shd w:val="clear" w:color="auto" w:fill="FFFFFF"/>
        </w:rPr>
        <w:t>BioProject</w:t>
      </w:r>
      <w:proofErr w:type="spellEnd"/>
      <w:r w:rsidRPr="002E5684">
        <w:rPr>
          <w:rFonts w:cstheme="minorHAnsi"/>
          <w:shd w:val="clear" w:color="auto" w:fill="FFFFFF"/>
        </w:rPr>
        <w:t xml:space="preserve"> accession PRJNA224116). This breaks the correspondence between </w:t>
      </w:r>
      <w:proofErr w:type="spellStart"/>
      <w:r w:rsidRPr="002E5684">
        <w:rPr>
          <w:rFonts w:cstheme="minorHAnsi"/>
          <w:shd w:val="clear" w:color="auto" w:fill="FFFFFF"/>
        </w:rPr>
        <w:t>RefSeq</w:t>
      </w:r>
      <w:proofErr w:type="spellEnd"/>
      <w:r w:rsidRPr="002E5684">
        <w:rPr>
          <w:rFonts w:cstheme="minorHAnsi"/>
          <w:shd w:val="clear" w:color="auto" w:fill="FFFFFF"/>
        </w:rPr>
        <w:t xml:space="preserve"> </w:t>
      </w:r>
      <w:proofErr w:type="spellStart"/>
      <w:r w:rsidRPr="002E5684">
        <w:rPr>
          <w:rFonts w:cstheme="minorHAnsi"/>
          <w:shd w:val="clear" w:color="auto" w:fill="FFFFFF"/>
        </w:rPr>
        <w:t>BioProject</w:t>
      </w:r>
      <w:proofErr w:type="spellEnd"/>
      <w:r w:rsidRPr="002E5684">
        <w:rPr>
          <w:rFonts w:cstheme="minorHAnsi"/>
          <w:shd w:val="clear" w:color="auto" w:fill="FFFFFF"/>
        </w:rPr>
        <w:t xml:space="preserve"> accession and sequencing project; therefore, for </w:t>
      </w:r>
      <w:proofErr w:type="spellStart"/>
      <w:r w:rsidRPr="002E5684">
        <w:rPr>
          <w:rFonts w:cstheme="minorHAnsi"/>
          <w:shd w:val="clear" w:color="auto" w:fill="FFFFFF"/>
        </w:rPr>
        <w:t>RefSeq</w:t>
      </w:r>
      <w:proofErr w:type="spellEnd"/>
      <w:r w:rsidRPr="002E5684">
        <w:rPr>
          <w:rFonts w:cstheme="minorHAnsi"/>
          <w:shd w:val="clear" w:color="auto" w:fill="FFFFFF"/>
        </w:rPr>
        <w:t xml:space="preserve"> accessions the original submitter </w:t>
      </w:r>
      <w:proofErr w:type="spellStart"/>
      <w:r w:rsidRPr="002E5684">
        <w:rPr>
          <w:rFonts w:cstheme="minorHAnsi"/>
          <w:shd w:val="clear" w:color="auto" w:fill="FFFFFF"/>
        </w:rPr>
        <w:t>BioProject</w:t>
      </w:r>
      <w:proofErr w:type="spellEnd"/>
      <w:r w:rsidRPr="002E5684">
        <w:rPr>
          <w:rFonts w:cstheme="minorHAnsi"/>
          <w:shd w:val="clear" w:color="auto" w:fill="FFFFFF"/>
        </w:rPr>
        <w:t xml:space="preserve"> accession id is retrieved via the cognate GenBank accession</w:t>
      </w:r>
      <w:r>
        <w:rPr>
          <w:rFonts w:cstheme="minorHAnsi"/>
          <w:shd w:val="clear" w:color="auto" w:fill="FFFFFF"/>
        </w:rPr>
        <w:t xml:space="preserve"> using the following Edirect query:</w:t>
      </w:r>
    </w:p>
    <w:p w14:paraId="7D32A931" w14:textId="77777777" w:rsidR="00FA7245" w:rsidRPr="00071C63" w:rsidRDefault="00FA7245" w:rsidP="00FA7245">
      <w:pPr>
        <w:rPr>
          <w:rFonts w:cstheme="minorHAnsi"/>
          <w:sz w:val="18"/>
          <w:szCs w:val="18"/>
        </w:rPr>
      </w:pPr>
      <w:r w:rsidRPr="00071C63">
        <w:rPr>
          <w:rFonts w:cstheme="minorHAnsi"/>
          <w:sz w:val="18"/>
          <w:szCs w:val="18"/>
        </w:rPr>
        <w:t xml:space="preserve">echo accessions.txt | </w:t>
      </w:r>
      <w:proofErr w:type="spellStart"/>
      <w:r w:rsidRPr="00071C63">
        <w:rPr>
          <w:rFonts w:cstheme="minorHAnsi"/>
          <w:sz w:val="18"/>
          <w:szCs w:val="18"/>
        </w:rPr>
        <w:t>epost</w:t>
      </w:r>
      <w:proofErr w:type="spellEnd"/>
      <w:r w:rsidRPr="00071C63">
        <w:rPr>
          <w:rFonts w:cstheme="minorHAnsi"/>
          <w:sz w:val="18"/>
          <w:szCs w:val="18"/>
        </w:rPr>
        <w:t xml:space="preserve"> -</w:t>
      </w:r>
      <w:proofErr w:type="spellStart"/>
      <w:r w:rsidRPr="00071C63">
        <w:rPr>
          <w:rFonts w:cstheme="minorHAnsi"/>
          <w:sz w:val="18"/>
          <w:szCs w:val="18"/>
        </w:rPr>
        <w:t>db</w:t>
      </w:r>
      <w:proofErr w:type="spellEnd"/>
      <w:r w:rsidRPr="00071C63">
        <w:rPr>
          <w:rFonts w:cstheme="minorHAnsi"/>
          <w:sz w:val="18"/>
          <w:szCs w:val="18"/>
        </w:rPr>
        <w:t xml:space="preserve"> </w:t>
      </w:r>
      <w:proofErr w:type="spellStart"/>
      <w:r w:rsidRPr="00071C63">
        <w:rPr>
          <w:rFonts w:cstheme="minorHAnsi"/>
          <w:sz w:val="18"/>
          <w:szCs w:val="18"/>
        </w:rPr>
        <w:t>nuccore</w:t>
      </w:r>
      <w:proofErr w:type="spellEnd"/>
      <w:r w:rsidRPr="00071C63">
        <w:rPr>
          <w:rFonts w:cstheme="minorHAnsi"/>
          <w:sz w:val="18"/>
          <w:szCs w:val="18"/>
        </w:rPr>
        <w:t xml:space="preserve"> -format </w:t>
      </w:r>
      <w:proofErr w:type="spellStart"/>
      <w:r w:rsidRPr="00071C63">
        <w:rPr>
          <w:rFonts w:cstheme="minorHAnsi"/>
          <w:sz w:val="18"/>
          <w:szCs w:val="18"/>
        </w:rPr>
        <w:t>acc</w:t>
      </w:r>
      <w:proofErr w:type="spellEnd"/>
      <w:r w:rsidRPr="00071C63">
        <w:rPr>
          <w:rFonts w:cstheme="minorHAnsi"/>
          <w:sz w:val="18"/>
          <w:szCs w:val="18"/>
        </w:rPr>
        <w:t xml:space="preserve"> | </w:t>
      </w:r>
      <w:proofErr w:type="spellStart"/>
      <w:r w:rsidRPr="00071C63">
        <w:rPr>
          <w:rFonts w:cstheme="minorHAnsi"/>
          <w:sz w:val="18"/>
          <w:szCs w:val="18"/>
        </w:rPr>
        <w:t>efetch</w:t>
      </w:r>
      <w:proofErr w:type="spellEnd"/>
      <w:r w:rsidRPr="00071C63">
        <w:rPr>
          <w:rFonts w:cstheme="minorHAnsi"/>
          <w:sz w:val="18"/>
          <w:szCs w:val="18"/>
        </w:rPr>
        <w:t xml:space="preserve"> -format </w:t>
      </w:r>
      <w:proofErr w:type="spellStart"/>
      <w:r w:rsidRPr="00071C63">
        <w:rPr>
          <w:rFonts w:cstheme="minorHAnsi"/>
          <w:sz w:val="18"/>
          <w:szCs w:val="18"/>
        </w:rPr>
        <w:t>docsum</w:t>
      </w:r>
      <w:proofErr w:type="spellEnd"/>
      <w:r w:rsidRPr="00071C63">
        <w:rPr>
          <w:rFonts w:cstheme="minorHAnsi"/>
          <w:sz w:val="18"/>
          <w:szCs w:val="18"/>
        </w:rPr>
        <w:t xml:space="preserve"> | </w:t>
      </w:r>
      <w:proofErr w:type="spellStart"/>
      <w:r w:rsidRPr="00071C63">
        <w:rPr>
          <w:rFonts w:cstheme="minorHAnsi"/>
          <w:sz w:val="18"/>
          <w:szCs w:val="18"/>
        </w:rPr>
        <w:t>xtract</w:t>
      </w:r>
      <w:proofErr w:type="spellEnd"/>
      <w:r w:rsidRPr="00071C63">
        <w:rPr>
          <w:rFonts w:cstheme="minorHAnsi"/>
          <w:sz w:val="18"/>
          <w:szCs w:val="18"/>
        </w:rPr>
        <w:t xml:space="preserve"> -pattern </w:t>
      </w:r>
      <w:proofErr w:type="spellStart"/>
      <w:r w:rsidRPr="00071C63">
        <w:rPr>
          <w:rFonts w:cstheme="minorHAnsi"/>
          <w:sz w:val="18"/>
          <w:szCs w:val="18"/>
        </w:rPr>
        <w:t>DocumentSummary</w:t>
      </w:r>
      <w:proofErr w:type="spellEnd"/>
      <w:r w:rsidRPr="00071C63">
        <w:rPr>
          <w:rFonts w:cstheme="minorHAnsi"/>
          <w:sz w:val="18"/>
          <w:szCs w:val="18"/>
        </w:rPr>
        <w:t xml:space="preserve"> -def "-" -element </w:t>
      </w:r>
      <w:proofErr w:type="spellStart"/>
      <w:r w:rsidRPr="00071C63">
        <w:rPr>
          <w:rFonts w:cstheme="minorHAnsi"/>
          <w:sz w:val="18"/>
          <w:szCs w:val="18"/>
        </w:rPr>
        <w:t>AccessionVersion</w:t>
      </w:r>
      <w:proofErr w:type="spellEnd"/>
      <w:r w:rsidRPr="00071C63">
        <w:rPr>
          <w:rFonts w:cstheme="minorHAnsi"/>
          <w:sz w:val="18"/>
          <w:szCs w:val="18"/>
        </w:rPr>
        <w:t xml:space="preserve"> </w:t>
      </w:r>
      <w:proofErr w:type="spellStart"/>
      <w:r w:rsidRPr="00071C63">
        <w:rPr>
          <w:rFonts w:cstheme="minorHAnsi"/>
          <w:sz w:val="18"/>
          <w:szCs w:val="18"/>
        </w:rPr>
        <w:t>AssemblyAcc</w:t>
      </w:r>
      <w:proofErr w:type="spellEnd"/>
    </w:p>
    <w:p w14:paraId="1B91A6E7" w14:textId="77777777" w:rsidR="00FA7245" w:rsidRDefault="00FA7245" w:rsidP="00FA7245">
      <w:pPr>
        <w:spacing w:line="480" w:lineRule="auto"/>
        <w:jc w:val="both"/>
        <w:rPr>
          <w:rFonts w:cstheme="minorHAnsi"/>
          <w:shd w:val="clear" w:color="auto" w:fill="FFFFFF"/>
        </w:rPr>
      </w:pPr>
    </w:p>
    <w:p w14:paraId="3DBCA730" w14:textId="77777777" w:rsidR="00FA7245" w:rsidRPr="002E5684" w:rsidRDefault="00FA7245" w:rsidP="00FA7245">
      <w:pPr>
        <w:spacing w:line="480" w:lineRule="auto"/>
        <w:jc w:val="both"/>
        <w:rPr>
          <w:rFonts w:cstheme="minorHAnsi"/>
          <w:shd w:val="clear" w:color="auto" w:fill="FFFFFF"/>
        </w:rPr>
      </w:pPr>
      <w:r>
        <w:rPr>
          <w:rFonts w:cstheme="minorHAnsi"/>
          <w:shd w:val="clear" w:color="auto" w:fill="FFFFFF"/>
        </w:rPr>
        <w:t>One caveat with the deduplication approach described is that as well as excluding redundant duplicates, identical plasmids isolated from different samples, but from the same study, will also be excluded. These plasmids may be of interest (</w:t>
      </w:r>
      <w:proofErr w:type="gramStart"/>
      <w:r>
        <w:rPr>
          <w:rFonts w:cstheme="minorHAnsi"/>
          <w:shd w:val="clear" w:color="auto" w:fill="FFFFFF"/>
        </w:rPr>
        <w:t>e.g.</w:t>
      </w:r>
      <w:proofErr w:type="gramEnd"/>
      <w:r>
        <w:rPr>
          <w:rFonts w:cstheme="minorHAnsi"/>
          <w:shd w:val="clear" w:color="auto" w:fill="FFFFFF"/>
        </w:rPr>
        <w:t xml:space="preserve"> for studies of plasmid transmission within study sites) but are difficult to distinguish from redundant duplicates.</w:t>
      </w:r>
    </w:p>
    <w:p w14:paraId="0966A9EB" w14:textId="77777777" w:rsidR="00FA7245" w:rsidRDefault="00FA7245" w:rsidP="00FA7245">
      <w:pPr>
        <w:spacing w:afterLines="160" w:after="384" w:line="480" w:lineRule="auto"/>
        <w:jc w:val="both"/>
        <w:rPr>
          <w:rFonts w:cstheme="minorHAnsi"/>
          <w:shd w:val="clear" w:color="auto" w:fill="FFFFFF"/>
        </w:rPr>
      </w:pPr>
      <w:r w:rsidRPr="002E5684">
        <w:rPr>
          <w:rFonts w:cstheme="minorHAnsi"/>
          <w:shd w:val="clear" w:color="auto" w:fill="FFFFFF"/>
        </w:rPr>
        <w:t xml:space="preserve">One major difference between curation methods described in </w:t>
      </w:r>
      <w:r>
        <w:rPr>
          <w:rFonts w:cstheme="minorHAnsi"/>
          <w:shd w:val="clear" w:color="auto" w:fill="FFFFFF"/>
        </w:rPr>
        <w:t>Section 2.3.1</w:t>
      </w:r>
      <w:r w:rsidRPr="002E5684">
        <w:rPr>
          <w:rFonts w:cstheme="minorHAnsi"/>
          <w:shd w:val="clear" w:color="auto" w:fill="FFFFFF"/>
        </w:rPr>
        <w:t xml:space="preserve"> and those implemented in bacterialBercow is the use of </w:t>
      </w:r>
      <w:r>
        <w:rPr>
          <w:rFonts w:cstheme="minorHAnsi"/>
          <w:shd w:val="clear" w:color="auto" w:fill="FFFFFF"/>
        </w:rPr>
        <w:t>the ribosomal multi-locus sequence typing (</w:t>
      </w:r>
      <w:proofErr w:type="spellStart"/>
      <w:r w:rsidRPr="002E5684">
        <w:rPr>
          <w:rFonts w:cstheme="minorHAnsi"/>
          <w:shd w:val="clear" w:color="auto" w:fill="FFFFFF"/>
        </w:rPr>
        <w:t>rMLST</w:t>
      </w:r>
      <w:proofErr w:type="spellEnd"/>
      <w:r>
        <w:rPr>
          <w:rFonts w:cstheme="minorHAnsi"/>
          <w:shd w:val="clear" w:color="auto" w:fill="FFFFFF"/>
        </w:rPr>
        <w:t>)</w:t>
      </w:r>
      <w:r w:rsidRPr="002E5684">
        <w:rPr>
          <w:rFonts w:cstheme="minorHAnsi"/>
          <w:shd w:val="clear" w:color="auto" w:fill="FFFFFF"/>
        </w:rPr>
        <w:t xml:space="preserve"> </w:t>
      </w:r>
      <w:r>
        <w:rPr>
          <w:rFonts w:cstheme="minorHAnsi"/>
          <w:shd w:val="clear" w:color="auto" w:fill="FFFFFF"/>
        </w:rPr>
        <w:t xml:space="preserve">scheme </w:t>
      </w:r>
      <w:r w:rsidRPr="002E5684">
        <w:rPr>
          <w:rFonts w:cstheme="minorHAnsi"/>
          <w:shd w:val="clear" w:color="auto" w:fill="FFFFFF"/>
        </w:rPr>
        <w:t xml:space="preserve">instead of </w:t>
      </w:r>
      <w:r>
        <w:rPr>
          <w:rFonts w:cstheme="minorHAnsi"/>
          <w:shd w:val="clear" w:color="auto" w:fill="FFFFFF"/>
        </w:rPr>
        <w:t>Enterobacteriaceae</w:t>
      </w:r>
      <w:r w:rsidRPr="002E5684">
        <w:rPr>
          <w:rFonts w:cstheme="minorHAnsi"/>
          <w:shd w:val="clear" w:color="auto" w:fill="FFFFFF"/>
        </w:rPr>
        <w:t xml:space="preserve"> MLST schemes to filter chromosomal accessions. </w:t>
      </w:r>
      <w:r>
        <w:rPr>
          <w:rFonts w:cstheme="minorHAnsi"/>
          <w:shd w:val="clear" w:color="auto" w:fill="FFFFFF"/>
        </w:rPr>
        <w:t xml:space="preserve">Whereas </w:t>
      </w:r>
      <w:r>
        <w:t>MLST schemes are taxon-specific and represent only ~100 taxa at the time of writing (</w:t>
      </w:r>
      <w:hyperlink r:id="rId8" w:history="1">
        <w:r>
          <w:rPr>
            <w:rStyle w:val="Hyperlink"/>
          </w:rPr>
          <w:t>https://pubmlst.org/databases/</w:t>
        </w:r>
      </w:hyperlink>
      <w:r>
        <w:t xml:space="preserve">), </w:t>
      </w:r>
      <w:proofErr w:type="spellStart"/>
      <w:r>
        <w:t>rMLST</w:t>
      </w:r>
      <w:proofErr w:type="spellEnd"/>
      <w:r>
        <w:t xml:space="preserve"> offers the advantage of being a universal bacterial typing scheme, covering over 8500 species </w:t>
      </w:r>
      <w:r>
        <w:fldChar w:fldCharType="begin" w:fldLock="1"/>
      </w:r>
      <w:r>
        <w:instrText>ADDIN CSL_CITATION {"citationItems":[{"id":"ITEM-1","itemData":{"DOI":"10.12688/wellcomeopenres.14826.1","ISSN":"2398502X","abstract":"The PubMLST.org website hosts a collection of open-access, curated databases that integrate population sequence data with provenance and phenotype information for over 100 different microbial species and genera. Although the PubMLST website was conceived as part of the development of the first multi-locus sequence typing (MLST) scheme in 1998 the software it uses, the Bacterial Isolate Genome Sequence database (BIGSdb, published in 2010), enables PubMLST to include all levels of sequence data, from single gene sequences up to and including complete, finished genomes. Here we describe developments in the BIGSdb software made from publication to June 2018 and show how the platform realises microbial population genomics for a wide range of applications. The system is based on the gene-by-gene analysis of microbial genomes, with each deposited sequence annotated and curated to identify the genes present and systematically catalogue their variation. Originally intended as a means of characterising isolates with typing schemes, the synthesis of sequences and records of genetic variation with provenance and phenotype data permits highly scalable (whole genome sequence data for tens of thousands of isolates) means of addressing a wide range of functional questions, including: the prediction of antimicrobial resistance; likely cross-reactivity with vaccine antigens; and the functional activities of different variants that lead to key phenotypes. There are no limitations to the number of sequences, genetic loci, allelic variants or schemes (combinations of loci) that can be included, enabling each database to represent an expanding catalogue of the genetic variation of the population in question. In addition to providing web-accessible analyses and links to third-party analysis and visualisation tools, the BIGSdb software includes a RESTful application programming interface (API) that enables access to all the underlying data for third-party applications and data analysis pipelines.","author":[{"dropping-particle":"","family":"Jolley","given":"Keith A.","non-dropping-particle":"","parse-names":false,"suffix":""},{"dropping-particle":"","family":"Bray","given":"James E.","non-dropping-particle":"","parse-names":false,"suffix":""},{"dropping-particle":"","family":"Maiden","given":"Martin C.J.","non-dropping-particle":"","parse-names":false,"suffix":""}],"container-title":"Wellcome Open Research","id":"ITEM-1","issued":{"date-parts":[["2018"]]},"title":"Open-access bacterial population genomics: BIGSdb software, the PubMLST.org website and their applications [version 1; referees: 2 approved]","type":"article-journal"},"uris":["http://www.mendeley.com/documents/?uuid=23c3f611-b9d7-4ae2-91ea-4e4b63daa8d1"]}],"mendeley":{"formattedCitation":"(Jolley et al., 2018)","plainTextFormattedCitation":"(Jolley et al., 2018)","previouslyFormattedCitation":"(Jolley et al., 2018)"},"properties":{"noteIndex":0},"schema":"https://github.com/citation-style-language/schema/raw/master/csl-citation.json"}</w:instrText>
      </w:r>
      <w:r>
        <w:fldChar w:fldCharType="separate"/>
      </w:r>
      <w:r w:rsidRPr="00FA5B15">
        <w:rPr>
          <w:noProof/>
        </w:rPr>
        <w:t>(Jolley et al., 2018)</w:t>
      </w:r>
      <w:r>
        <w:fldChar w:fldCharType="end"/>
      </w:r>
      <w:r>
        <w:t xml:space="preserve">. </w:t>
      </w:r>
      <w:r w:rsidRPr="002E5684">
        <w:rPr>
          <w:rFonts w:cstheme="minorHAnsi"/>
          <w:shd w:val="clear" w:color="auto" w:fill="FFFFFF"/>
        </w:rPr>
        <w:t xml:space="preserve">The </w:t>
      </w:r>
      <w:proofErr w:type="spellStart"/>
      <w:r w:rsidRPr="002E5684">
        <w:rPr>
          <w:rFonts w:cstheme="minorHAnsi"/>
          <w:shd w:val="clear" w:color="auto" w:fill="FFFFFF"/>
        </w:rPr>
        <w:t>rMLST</w:t>
      </w:r>
      <w:proofErr w:type="spellEnd"/>
      <w:r w:rsidRPr="002E5684">
        <w:rPr>
          <w:rFonts w:cstheme="minorHAnsi"/>
          <w:shd w:val="clear" w:color="auto" w:fill="FFFFFF"/>
        </w:rPr>
        <w:t xml:space="preserve"> database is accessed via the RESTful application programming interface (API) </w:t>
      </w:r>
      <w:r w:rsidRPr="002E5684">
        <w:rPr>
          <w:rFonts w:cstheme="minorHAnsi"/>
          <w:shd w:val="clear" w:color="auto" w:fill="FFFFFF"/>
        </w:rPr>
        <w:fldChar w:fldCharType="begin" w:fldLock="1"/>
      </w:r>
      <w:r w:rsidRPr="002E5684">
        <w:rPr>
          <w:rFonts w:cstheme="minorHAnsi"/>
          <w:shd w:val="clear" w:color="auto" w:fill="FFFFFF"/>
        </w:rPr>
        <w:instrText>ADDIN CSL_CITATION {"citationItems":[{"id":"ITEM-1","itemData":{"DOI":"10.1093/database/bax060","ISSN":"17580463","PMID":"29220452","abstract":"Database URL: http://rest.pubmlst.org/.","author":[{"dropping-particle":"","family":"Jolley","given":"Keith A.","non-dropping-particle":"","parse-names":false,"suffix":""},{"dropping-particle":"","family":"Bray","given":"James E.","non-dropping-particle":"","parse-names":false,"suffix":""},{"dropping-particle":"","family":"Maiden","given":"Martin C.J.","non-dropping-particle":"","parse-names":false,"suffix":""}],"container-title":"Database : the journal of biological databases and curation","id":"ITEM-1","issued":{"date-parts":[["2017"]]},"title":"A RESTful application programming interface for the PubMLST molecular typing and genome databases","type":"article-journal"},"uris":["http://www.mendeley.com/documents/?uuid=4c6fa0f7-f3a6-4944-8a28-c6fe3183fa4a"]}],"mendeley":{"formattedCitation":"(Jolley et al., 2017)","plainTextFormattedCitation":"(Jolley et al., 2017)","previouslyFormattedCitation":"(Jolley et al., 2017)"},"properties":{"noteIndex":0},"schema":"https://github.com/citation-style-language/schema/raw/master/csl-citation.json"}</w:instrText>
      </w:r>
      <w:r w:rsidRPr="002E5684">
        <w:rPr>
          <w:rFonts w:cstheme="minorHAnsi"/>
          <w:shd w:val="clear" w:color="auto" w:fill="FFFFFF"/>
        </w:rPr>
        <w:fldChar w:fldCharType="separate"/>
      </w:r>
      <w:r w:rsidRPr="002E5684">
        <w:rPr>
          <w:rFonts w:cstheme="minorHAnsi"/>
          <w:noProof/>
          <w:shd w:val="clear" w:color="auto" w:fill="FFFFFF"/>
        </w:rPr>
        <w:t>(Jolley et al., 2017)</w:t>
      </w:r>
      <w:r w:rsidRPr="002E5684">
        <w:rPr>
          <w:rFonts w:cstheme="minorHAnsi"/>
          <w:shd w:val="clear" w:color="auto" w:fill="FFFFFF"/>
        </w:rPr>
        <w:fldChar w:fldCharType="end"/>
      </w:r>
      <w:r w:rsidRPr="002E5684">
        <w:rPr>
          <w:rFonts w:cstheme="minorHAnsi"/>
          <w:shd w:val="clear" w:color="auto" w:fill="FFFFFF"/>
        </w:rPr>
        <w:t xml:space="preserve">. Nucleotide sequences are BLAST searched against the </w:t>
      </w:r>
      <w:proofErr w:type="spellStart"/>
      <w:r w:rsidRPr="002E5684">
        <w:rPr>
          <w:rFonts w:cstheme="minorHAnsi"/>
          <w:shd w:val="clear" w:color="auto" w:fill="FFFFFF"/>
        </w:rPr>
        <w:t>rMLST</w:t>
      </w:r>
      <w:proofErr w:type="spellEnd"/>
      <w:r w:rsidRPr="002E5684">
        <w:rPr>
          <w:rFonts w:cstheme="minorHAnsi"/>
          <w:shd w:val="clear" w:color="auto" w:fill="FFFFFF"/>
        </w:rPr>
        <w:t xml:space="preserve"> database (E-value </w:t>
      </w:r>
      <w:proofErr w:type="spellStart"/>
      <w:r w:rsidRPr="002E5684">
        <w:rPr>
          <w:rFonts w:cstheme="minorHAnsi"/>
          <w:shd w:val="clear" w:color="auto" w:fill="FFFFFF"/>
        </w:rPr>
        <w:t>cutoff</w:t>
      </w:r>
      <w:proofErr w:type="spellEnd"/>
      <w:r w:rsidRPr="002E5684">
        <w:rPr>
          <w:rFonts w:cstheme="minorHAnsi"/>
          <w:shd w:val="clear" w:color="auto" w:fill="FFFFFF"/>
        </w:rPr>
        <w:t xml:space="preserve"> 1e-10, word size 28, percent identity </w:t>
      </w:r>
      <w:proofErr w:type="spellStart"/>
      <w:r w:rsidRPr="002E5684">
        <w:rPr>
          <w:rFonts w:cstheme="minorHAnsi"/>
          <w:shd w:val="clear" w:color="auto" w:fill="FFFFFF"/>
        </w:rPr>
        <w:t>cutoff</w:t>
      </w:r>
      <w:proofErr w:type="spellEnd"/>
      <w:r w:rsidRPr="002E5684">
        <w:rPr>
          <w:rFonts w:cstheme="minorHAnsi"/>
          <w:shd w:val="clear" w:color="auto" w:fill="FFFFFF"/>
        </w:rPr>
        <w:t xml:space="preserve"> 95%, coverage breadth </w:t>
      </w:r>
      <w:proofErr w:type="spellStart"/>
      <w:r w:rsidRPr="002E5684">
        <w:rPr>
          <w:rFonts w:cstheme="minorHAnsi"/>
          <w:shd w:val="clear" w:color="auto" w:fill="FFFFFF"/>
        </w:rPr>
        <w:t>cutoff</w:t>
      </w:r>
      <w:proofErr w:type="spellEnd"/>
      <w:r w:rsidRPr="002E5684">
        <w:rPr>
          <w:rFonts w:cstheme="minorHAnsi"/>
          <w:shd w:val="clear" w:color="auto" w:fill="FFFFFF"/>
        </w:rPr>
        <w:t xml:space="preserve"> 95%); the identity and coverage </w:t>
      </w:r>
      <w:proofErr w:type="spellStart"/>
      <w:r w:rsidRPr="002E5684">
        <w:rPr>
          <w:rFonts w:cstheme="minorHAnsi"/>
          <w:shd w:val="clear" w:color="auto" w:fill="FFFFFF"/>
        </w:rPr>
        <w:t>cutoffs</w:t>
      </w:r>
      <w:proofErr w:type="spellEnd"/>
      <w:r w:rsidRPr="002E5684">
        <w:rPr>
          <w:rFonts w:cstheme="minorHAnsi"/>
          <w:shd w:val="clear" w:color="auto" w:fill="FFFFFF"/>
        </w:rPr>
        <w:t xml:space="preserve"> were selected in accordance with previous methods </w:t>
      </w:r>
      <w:r w:rsidRPr="002E5684">
        <w:rPr>
          <w:rFonts w:cstheme="minorHAnsi"/>
          <w:shd w:val="clear" w:color="auto" w:fill="FFFFFF"/>
        </w:rPr>
        <w:fldChar w:fldCharType="begin" w:fldLock="1"/>
      </w:r>
      <w:r w:rsidRPr="002E5684">
        <w:rPr>
          <w:rFonts w:cstheme="minorHAnsi"/>
          <w:shd w:val="clear" w:color="auto" w:fill="FFFFFF"/>
        </w:rPr>
        <w:instrText>ADDIN CSL_CITATION {"citationItems":[{"id":"ITEM-1","itemData":{"DOI":"10.1128/JCM.02981-13","ISBN":"1098-660X (Electronic)\r0095-1137 (Linking)","ISSN":"1098660X","PMID":"24574292","abstract":"One of the first issues that emerges when a prokaryotic organism of interest is encountered is the question of what it is—that is, which species it is. The 16S rRNA gene formed the basis of the first method for sequence-based taxonomy and has had a tremendous impact on the field of microbiology. Nevertheless, the method has been found to have a number of shortcomings. In the current study, we trained and benchmarked five methods for whole-genome sequence-based prokaryotic species identification on a common data set of complete genomes: (i) SpeciesFinder, which is based on the complete 16S rRNA gene; (ii) Reads2Type that searches for species-specific 50-mers in either the 16S rRNA gene or the gyrB gene (for the Enterobacteraceae family); (iii) the ribosomal multilocus sequence typing (rMLST) method that samples up to 53 ribosomal genes; (iv) TaxonomyFinder, which is based on species-specific functional protein domain profiles; and finally (v) KmerFinder, which examines the number of cooccurring k-mers (substrings of k nucleotides in DNA sequence data). The performances of the methods were subsequently evaluated on three data sets of short sequence reads or draft genomes from public databases. In total, the evaluation sets constituted sequence data from more than 11,000 isolates covering 159 genera and 243 species. Our results indicate that methods that sample only chromosomal, core genes have difficulties in distinguishing closely related species which only recently diverged. The KmerFinder method had the overall highest accuracy and correctly identified from 93% to 97% of the isolates in the evaluations sets.","author":[{"dropping-particle":"V.","family":"Larsen","given":"Mette","non-dropping-particle":"","parse-names":false,"suffix":""},{"dropping-particle":"","family":"Cosentino","given":"Salvatore","non-dropping-particle":"","parse-names":false,"suffix":""},{"dropping-particle":"","family":"Lukjancenko","given":"Oksana","non-dropping-particle":"","parse-names":false,"suffix":""},{"dropping-particle":"","family":"Saputra","given":"Dhany","non-dropping-particle":"","parse-names":false,"suffix":""},{"dropping-particle":"","family":"Rasmussen","given":"Simon","non-dropping-particle":"","parse-names":false,"suffix":""},{"dropping-particle":"","family":"Hasman","given":"Henrik","non-dropping-particle":"","parse-names":false,"suffix":""},{"dropping-particle":"","family":"Sicheritz-Pontén","given":"Thomas","non-dropping-particle":"","parse-names":false,"suffix":""},{"dropping-particle":"","family":"Aarestrup","given":"Frank M.","non-dropping-particle":"","parse-names":false,"suffix":""},{"dropping-particle":"","family":"Ussery","given":"David W.","non-dropping-particle":"","parse-names":false,"suffix":""},{"dropping-particle":"","family":"Lund","given":"Ole","non-dropping-particle":"","parse-names":false,"suffix":""}],"container-title":"Journal of Clinical Microbiology","id":"ITEM-1","issue":"5","issued":{"date-parts":[["2014"]]},"page":"1529-1539","title":"Benchmarking of methods for genomic taxonomy","type":"article-journal","volume":"52"},"uris":["http://www.mendeley.com/documents/?uuid=d6fa5394-a68e-49b6-96a3-d96c78b2680d"]}],"mendeley":{"formattedCitation":"(Larsen et al., 2014)","plainTextFormattedCitation":"(Larsen et al., 2014)","previouslyFormattedCitation":"(Larsen et al., 2014)"},"properties":{"noteIndex":0},"schema":"https://github.com/citation-style-language/schema/raw/master/csl-citation.json"}</w:instrText>
      </w:r>
      <w:r w:rsidRPr="002E5684">
        <w:rPr>
          <w:rFonts w:cstheme="minorHAnsi"/>
          <w:shd w:val="clear" w:color="auto" w:fill="FFFFFF"/>
        </w:rPr>
        <w:fldChar w:fldCharType="separate"/>
      </w:r>
      <w:r w:rsidRPr="002E5684">
        <w:rPr>
          <w:rFonts w:cstheme="minorHAnsi"/>
          <w:noProof/>
          <w:shd w:val="clear" w:color="auto" w:fill="FFFFFF"/>
        </w:rPr>
        <w:t>(Larsen et al., 2014)</w:t>
      </w:r>
      <w:r w:rsidRPr="002E5684">
        <w:rPr>
          <w:rFonts w:cstheme="minorHAnsi"/>
          <w:shd w:val="clear" w:color="auto" w:fill="FFFFFF"/>
        </w:rPr>
        <w:fldChar w:fldCharType="end"/>
      </w:r>
      <w:r w:rsidRPr="002E5684">
        <w:rPr>
          <w:rFonts w:cstheme="minorHAnsi"/>
          <w:shd w:val="clear" w:color="auto" w:fill="FFFFFF"/>
        </w:rPr>
        <w:t xml:space="preserve">. For each locus, best hits are selected according to percent identity and coverage </w:t>
      </w:r>
      <w:r w:rsidRPr="002E5684">
        <w:rPr>
          <w:rFonts w:cstheme="minorHAnsi"/>
          <w:shd w:val="clear" w:color="auto" w:fill="FFFFFF"/>
        </w:rPr>
        <w:fldChar w:fldCharType="begin" w:fldLock="1"/>
      </w:r>
      <w:r w:rsidRPr="002E5684">
        <w:rPr>
          <w:rFonts w:cstheme="minorHAnsi"/>
          <w:shd w:val="clear" w:color="auto" w:fill="FFFFFF"/>
        </w:rPr>
        <w:instrText>ADDIN CSL_CITATION {"citationItems":[{"id":"ITEM-1","itemData":{"DOI":"10.1128/JCM.06094-11","ISBN":"1098-660X (Electronic)\\r0095-1137 (Linking)","ISSN":"00951137","PMID":"22238442","abstract":"Accurate strain identification is essential for anyone working with bacteria. For many species, multilocus sequence typing (MLST) is considered the \"gold standard\" of typing, but it is traditionally performed in an expensive and time-consuming manner. As the costs of whole-genome sequencing (WGS) continue to decline, it becomes increasingly available to scientists and routine diagnostic laboratories. Currently, the cost is below that of traditional MLST. The new challenges will be how to extract the relevant information from the large amount of data so as to allow for comparison over time and between laboratories. Ideally, this information should also allow for comparison to historical data. We developed a Web-based method for MLST of 66 bacterial species based on WGS data. As input, the method uses short sequence reads from four sequencing platforms or preassembled genomes. Updates from the MLST databases are downloaded monthly, and the best-matching MLST alleles of the specified MLST scheme are found using a BLAST-based ranking method. The sequence type is then determined by the combination of alleles identified. The method was tested on preassembled genomes from 336 isolates covering 56 MLST schemes, on short sequence reads from 387 isolates covering 10 schemes, and on a small test set of short sequence reads from 29 isolates for which the sequence type had been determined by traditional methods. The method presented here enables investigators to determine the sequence types of their isolates on the basis of WGS data. This method is publicly available at www.cbs.dtu.dk/services/MLST.","author":[{"dropping-particle":"V.","family":"Larsen","given":"Mette","non-dropping-particle":"","parse-names":false,"suffix":""},{"dropping-particle":"","family":"Cosentino","given":"Salvatore","non-dropping-particle":"","parse-names":false,"suffix":""},{"dropping-particle":"","family":"Rasmussen","given":"Simon","non-dropping-particle":"","parse-names":false,"suffix":""},{"dropping-particle":"","family":"Friis","given":"Carsten","non-dropping-particle":"","parse-names":false,"suffix":""},{"dropping-particle":"","family":"Hasman","given":"Henrik","non-dropping-particle":"","parse-names":false,"suffix":""},{"dropping-particle":"","family":"Marvig","given":"Rasmus Lykke","non-dropping-particle":"","parse-names":false,"suffix":""},{"dropping-particle":"","family":"Jelsbak","given":"Lars","non-dropping-particle":"","parse-names":false,"suffix":""},{"dropping-particle":"","family":"Sicheritz-Pont??n","given":"Thomas","non-dropping-particle":"","parse-names":false,"suffix":""},{"dropping-particle":"","family":"Ussery","given":"David W.","non-dropping-particle":"","parse-names":false,"suffix":""},{"dropping-particle":"","family":"Aarestrup","given":"Frank M.","non-dropping-particle":"","parse-names":false,"suffix":""},{"dropping-particle":"","family":"Lund","given":"Ole","non-dropping-particle":"","parse-names":false,"suffix":""}],"container-title":"Journal of Clinical Microbiology","id":"ITEM-1","issue":"4","issued":{"date-parts":[["2012"]]},"page":"1355-1361","title":"Multilocus sequence typing of total-genome-sequenced bacteria","type":"article-journal","volume":"50"},"uris":["http://www.mendeley.com/documents/?uuid=92c8205f-59bd-4ced-b580-1cf87a1e3d19"]}],"mendeley":{"formattedCitation":"(Larsen et al., 2012)","plainTextFormattedCitation":"(Larsen et al., 2012)","previouslyFormattedCitation":"(Larsen et al., 2012)"},"properties":{"noteIndex":0},"schema":"https://github.com/citation-style-language/schema/raw/master/csl-citation.json"}</w:instrText>
      </w:r>
      <w:r w:rsidRPr="002E5684">
        <w:rPr>
          <w:rFonts w:cstheme="minorHAnsi"/>
          <w:shd w:val="clear" w:color="auto" w:fill="FFFFFF"/>
        </w:rPr>
        <w:fldChar w:fldCharType="separate"/>
      </w:r>
      <w:r w:rsidRPr="002E5684">
        <w:rPr>
          <w:rFonts w:cstheme="minorHAnsi"/>
          <w:noProof/>
          <w:shd w:val="clear" w:color="auto" w:fill="FFFFFF"/>
        </w:rPr>
        <w:t>(Larsen et al., 2012)</w:t>
      </w:r>
      <w:r w:rsidRPr="002E5684">
        <w:rPr>
          <w:rFonts w:cstheme="minorHAnsi"/>
          <w:shd w:val="clear" w:color="auto" w:fill="FFFFFF"/>
        </w:rPr>
        <w:fldChar w:fldCharType="end"/>
      </w:r>
      <w:r w:rsidRPr="002E5684">
        <w:rPr>
          <w:rFonts w:cstheme="minorHAnsi"/>
          <w:shd w:val="clear" w:color="auto" w:fill="FFFFFF"/>
        </w:rPr>
        <w:t xml:space="preserve">. </w:t>
      </w:r>
      <w:r>
        <w:rPr>
          <w:rFonts w:cstheme="minorHAnsi"/>
          <w:shd w:val="clear" w:color="auto" w:fill="FFFFFF"/>
        </w:rPr>
        <w:lastRenderedPageBreak/>
        <w:t>After applying a decision tree (Figure A), a</w:t>
      </w:r>
      <w:r w:rsidRPr="002E5684">
        <w:rPr>
          <w:rFonts w:cstheme="minorHAnsi"/>
          <w:shd w:val="clear" w:color="auto" w:fill="FFFFFF"/>
        </w:rPr>
        <w:t xml:space="preserve">ccessions with no detected </w:t>
      </w:r>
      <w:proofErr w:type="spellStart"/>
      <w:r w:rsidRPr="002E5684">
        <w:rPr>
          <w:rFonts w:cstheme="minorHAnsi"/>
          <w:shd w:val="clear" w:color="auto" w:fill="FFFFFF"/>
        </w:rPr>
        <w:t>rMLST</w:t>
      </w:r>
      <w:proofErr w:type="spellEnd"/>
      <w:r w:rsidRPr="002E5684">
        <w:rPr>
          <w:rFonts w:cstheme="minorHAnsi"/>
          <w:shd w:val="clear" w:color="auto" w:fill="FFFFFF"/>
        </w:rPr>
        <w:t xml:space="preserve"> loci are assigned as plasmids. Accessions with one or more detected </w:t>
      </w:r>
      <w:proofErr w:type="spellStart"/>
      <w:r w:rsidRPr="002E5684">
        <w:rPr>
          <w:rFonts w:cstheme="minorHAnsi"/>
          <w:shd w:val="clear" w:color="auto" w:fill="FFFFFF"/>
        </w:rPr>
        <w:t>rMLST</w:t>
      </w:r>
      <w:proofErr w:type="spellEnd"/>
      <w:r w:rsidRPr="002E5684">
        <w:rPr>
          <w:rFonts w:cstheme="minorHAnsi"/>
          <w:shd w:val="clear" w:color="auto" w:fill="FFFFFF"/>
        </w:rPr>
        <w:t xml:space="preserve"> loci are assigned as either “chromosome” or “chromosomal”</w:t>
      </w:r>
      <w:r>
        <w:rPr>
          <w:rFonts w:cstheme="minorHAnsi"/>
          <w:shd w:val="clear" w:color="auto" w:fill="FFFFFF"/>
        </w:rPr>
        <w:t xml:space="preserve">. “Chromosomal” denotes either a chromosomal fragment, or a non-plasmid secondary replicon, notably, a chromid </w:t>
      </w:r>
      <w:r>
        <w:rPr>
          <w:rFonts w:cstheme="minorHAnsi"/>
          <w:shd w:val="clear" w:color="auto" w:fill="FFFFFF"/>
        </w:rPr>
        <w:fldChar w:fldCharType="begin" w:fldLock="1"/>
      </w:r>
      <w:r>
        <w:rPr>
          <w:rFonts w:cstheme="minorHAnsi"/>
          <w:shd w:val="clear" w:color="auto" w:fill="FFFFFF"/>
        </w:rPr>
        <w:instrText>ADDIN CSL_CITATION {"citationItems":[{"id":"ITEM-1","itemData":{"DOI":"10.1128/ MMBR.00019-17","PMID":"28794225","abstract":"Approximately 10% of bacterial genomes are split between two or more large DNA fragments, a genome architecture referred to as a multipartite genome. This multipartite organization is found in many important organisms, including plant symbionts, such as the nitrogen-ﬁxing rhizobia, and plant, animal, and human pathogens, including the genera Brucella, Vibrio, and Burkholderia. The availability of many complete bacterial genome sequences means that we can now examine on a broad scale thecharacteristics of the different types of DNA molecules in a genome. Recent work has begun to shed light on the unique properties of each class of replicon, the unique functional role of chromosomal and nonchromosomal DNA molecules, and how the exploitation of novel niches may have driven the evolution of the multipartite genome. The aims of this review are to (i) outline the literature regarding bacterial genomes that are divided into multiple fragments, (ii) provide a meta-analysis of completed bacterial genomes from 1,708 species as a way of reviewing the abundant information present in these genome sequences, and (iii) provide an encompassing model to explain the evolution and function of the multipartite genome structure. This review covers, among other topics, salient genome terminology; mechanisms of multipartite genome formation; the phylogenetic distribution of multipartite genomes; how each part of a genome differs with respect to genomic signatures, genetic variability, and gene functional annotation; how each DNA molecule may interact; as well as the costs and beneﬁts of this genome structure.","author":[{"dropping-particle":"","family":"DiCenzo","given":"George C.","non-dropping-particle":"","parse-names":false,"suffix":""},{"dropping-particle":"","family":"Finan","given":"Turlough M","non-dropping-particle":"","parse-names":false,"suffix":""}],"container-title":"Microbiology and Molecular Biology Reviews","id":"ITEM-1","issued":{"date-parts":[["2017"]]},"title":"The Divided Bacterial Genome","type":"article-journal"},"uris":["http://www.mendeley.com/documents/?uuid=0ccda49a-34ee-468b-b287-3b17b88301ad"]}],"mendeley":{"formattedCitation":"(DiCenzo and Finan, 2017)","plainTextFormattedCitation":"(DiCenzo and Finan, 2017)","previouslyFormattedCitation":"(DiCenzo and Finan, 2017)"},"properties":{"noteIndex":0},"schema":"https://github.com/citation-style-language/schema/raw/master/csl-citation.json"}</w:instrText>
      </w:r>
      <w:r>
        <w:rPr>
          <w:rFonts w:cstheme="minorHAnsi"/>
          <w:shd w:val="clear" w:color="auto" w:fill="FFFFFF"/>
        </w:rPr>
        <w:fldChar w:fldCharType="separate"/>
      </w:r>
      <w:r w:rsidRPr="007C6CFF">
        <w:rPr>
          <w:rFonts w:cstheme="minorHAnsi"/>
          <w:noProof/>
          <w:shd w:val="clear" w:color="auto" w:fill="FFFFFF"/>
        </w:rPr>
        <w:t>(DiCenzo and Finan, 2017)</w:t>
      </w:r>
      <w:r>
        <w:rPr>
          <w:rFonts w:cstheme="minorHAnsi"/>
          <w:shd w:val="clear" w:color="auto" w:fill="FFFFFF"/>
        </w:rPr>
        <w:fldChar w:fldCharType="end"/>
      </w:r>
      <w:r>
        <w:rPr>
          <w:rFonts w:cstheme="minorHAnsi"/>
          <w:shd w:val="clear" w:color="auto" w:fill="FFFFFF"/>
        </w:rPr>
        <w:t>.</w:t>
      </w:r>
    </w:p>
    <w:p w14:paraId="429148CE" w14:textId="77777777" w:rsidR="00FA7245" w:rsidRDefault="00FA7245" w:rsidP="00FA7245">
      <w:pPr>
        <w:keepNext/>
        <w:spacing w:afterLines="160" w:after="384"/>
        <w:jc w:val="both"/>
      </w:pPr>
      <w:r>
        <w:rPr>
          <w:noProof/>
        </w:rPr>
        <w:drawing>
          <wp:inline distT="0" distB="0" distL="0" distR="0" wp14:anchorId="2C66359D" wp14:editId="6823828D">
            <wp:extent cx="3599180" cy="1611630"/>
            <wp:effectExtent l="0" t="0" r="127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13971" r="-18" b="15650"/>
                    <a:stretch/>
                  </pic:blipFill>
                  <pic:spPr bwMode="auto">
                    <a:xfrm>
                      <a:off x="0" y="0"/>
                      <a:ext cx="3600659" cy="1612292"/>
                    </a:xfrm>
                    <a:prstGeom prst="rect">
                      <a:avLst/>
                    </a:prstGeom>
                    <a:noFill/>
                    <a:ln>
                      <a:noFill/>
                    </a:ln>
                    <a:extLst>
                      <a:ext uri="{53640926-AAD7-44D8-BBD7-CCE9431645EC}">
                        <a14:shadowObscured xmlns:a14="http://schemas.microsoft.com/office/drawing/2010/main"/>
                      </a:ext>
                    </a:extLst>
                  </pic:spPr>
                </pic:pic>
              </a:graphicData>
            </a:graphic>
          </wp:inline>
        </w:drawing>
      </w:r>
    </w:p>
    <w:p w14:paraId="5AA2D5A9" w14:textId="77777777" w:rsidR="00FA7245" w:rsidRDefault="00FA7245" w:rsidP="00FA7245">
      <w:pPr>
        <w:pStyle w:val="Caption"/>
        <w:jc w:val="both"/>
      </w:pPr>
      <w:r w:rsidRPr="002576C1">
        <w:rPr>
          <w:b/>
          <w:bCs/>
        </w:rPr>
        <w:t xml:space="preserve">Figure </w:t>
      </w:r>
      <w:r w:rsidRPr="002576C1">
        <w:rPr>
          <w:b/>
          <w:bCs/>
        </w:rPr>
        <w:fldChar w:fldCharType="begin"/>
      </w:r>
      <w:r w:rsidRPr="002576C1">
        <w:rPr>
          <w:b/>
          <w:bCs/>
        </w:rPr>
        <w:instrText xml:space="preserve"> SEQ Figure_A \* ALPHABETIC </w:instrText>
      </w:r>
      <w:r w:rsidRPr="002576C1">
        <w:rPr>
          <w:b/>
          <w:bCs/>
        </w:rPr>
        <w:fldChar w:fldCharType="separate"/>
      </w:r>
      <w:r>
        <w:rPr>
          <w:b/>
          <w:bCs/>
          <w:noProof/>
        </w:rPr>
        <w:t>A</w:t>
      </w:r>
      <w:r w:rsidRPr="002576C1">
        <w:rPr>
          <w:b/>
          <w:bCs/>
        </w:rPr>
        <w:fldChar w:fldCharType="end"/>
      </w:r>
      <w:r w:rsidRPr="002576C1">
        <w:rPr>
          <w:b/>
          <w:bCs/>
        </w:rPr>
        <w:t>.</w:t>
      </w:r>
      <w:r>
        <w:t xml:space="preserve"> </w:t>
      </w:r>
      <w:r w:rsidRPr="002C790B">
        <w:t>Decision tree used to classify sequences curated from NCBI.</w:t>
      </w:r>
      <w:r>
        <w:t xml:space="preserve"> The “chromosome” assignment indicates a complete or near-complete chromosome sequence. “Chromosomal” designates either a chromosomal fragment, or a non-plasmid secondary replicon, notably, a chromid. </w:t>
      </w:r>
    </w:p>
    <w:p w14:paraId="33EB9188" w14:textId="77777777" w:rsidR="00FA7245" w:rsidRDefault="00FA7245" w:rsidP="00FA7245">
      <w:pPr>
        <w:pStyle w:val="Caption"/>
        <w:jc w:val="both"/>
      </w:pPr>
    </w:p>
    <w:p w14:paraId="6F3ADFC7" w14:textId="77777777" w:rsidR="00FA7245" w:rsidRDefault="00FA7245" w:rsidP="00FA7245">
      <w:pPr>
        <w:spacing w:line="480" w:lineRule="auto"/>
      </w:pPr>
    </w:p>
    <w:p w14:paraId="40A7B92C" w14:textId="77777777" w:rsidR="00FA7245" w:rsidRPr="00560DEB" w:rsidRDefault="00FA7245" w:rsidP="00FA7245">
      <w:pPr>
        <w:spacing w:line="480" w:lineRule="auto"/>
        <w:jc w:val="both"/>
        <w:rPr>
          <w:rFonts w:cstheme="minorHAnsi"/>
          <w:b/>
          <w:bCs/>
          <w:shd w:val="clear" w:color="auto" w:fill="FFFFFF"/>
        </w:rPr>
      </w:pPr>
      <w:r>
        <w:rPr>
          <w:rFonts w:cstheme="minorHAnsi"/>
          <w:b/>
          <w:bCs/>
          <w:shd w:val="clear" w:color="auto" w:fill="FFFFFF"/>
        </w:rPr>
        <w:t>Additional bacterialBercow functionality: classifying in-house sequences; speciation; contamination detection</w:t>
      </w:r>
    </w:p>
    <w:p w14:paraId="7D77ABC4" w14:textId="77777777" w:rsidR="00FA7245" w:rsidRPr="002E5684" w:rsidRDefault="00FA7245" w:rsidP="00FA7245">
      <w:pPr>
        <w:spacing w:line="480" w:lineRule="auto"/>
        <w:jc w:val="both"/>
        <w:rPr>
          <w:rFonts w:cstheme="minorHAnsi"/>
          <w:shd w:val="clear" w:color="auto" w:fill="FFFFFF"/>
        </w:rPr>
      </w:pPr>
      <w:r w:rsidRPr="002E5684">
        <w:rPr>
          <w:rFonts w:cstheme="minorHAnsi"/>
          <w:shd w:val="clear" w:color="auto" w:fill="FFFFFF"/>
        </w:rPr>
        <w:t xml:space="preserve">Beyond curating NCBI plasmids, bacterialBercow can also </w:t>
      </w:r>
      <w:r>
        <w:rPr>
          <w:rFonts w:cstheme="minorHAnsi"/>
          <w:shd w:val="clear" w:color="auto" w:fill="FFFFFF"/>
        </w:rPr>
        <w:t xml:space="preserve">classify </w:t>
      </w:r>
      <w:r w:rsidRPr="002E5684">
        <w:rPr>
          <w:rFonts w:cstheme="minorHAnsi"/>
          <w:shd w:val="clear" w:color="auto" w:fill="FFFFFF"/>
        </w:rPr>
        <w:t>in-house (user-provided) bacterial assemblies</w:t>
      </w:r>
      <w:r>
        <w:rPr>
          <w:rFonts w:cstheme="minorHAnsi"/>
          <w:shd w:val="clear" w:color="auto" w:fill="FFFFFF"/>
        </w:rPr>
        <w:t>, according to a decision tree (Figure B)</w:t>
      </w:r>
      <w:r w:rsidRPr="002E5684">
        <w:rPr>
          <w:rFonts w:cstheme="minorHAnsi"/>
          <w:shd w:val="clear" w:color="auto" w:fill="FFFFFF"/>
        </w:rPr>
        <w:t>. In contrast</w:t>
      </w:r>
      <w:r>
        <w:rPr>
          <w:rFonts w:cstheme="minorHAnsi"/>
          <w:shd w:val="clear" w:color="auto" w:fill="FFFFFF"/>
        </w:rPr>
        <w:t xml:space="preserve"> to NCBI-retrieved sequences</w:t>
      </w:r>
      <w:r w:rsidRPr="002E5684">
        <w:rPr>
          <w:rFonts w:cstheme="minorHAnsi"/>
          <w:shd w:val="clear" w:color="auto" w:fill="FFFFFF"/>
        </w:rPr>
        <w:t>, with in-house assemblies, users can provide trusted information about contig completeness and source sample affiliation which can be used to refine the contig classification process</w:t>
      </w:r>
      <w:r>
        <w:rPr>
          <w:rFonts w:cstheme="minorHAnsi"/>
          <w:shd w:val="clear" w:color="auto" w:fill="FFFFFF"/>
        </w:rPr>
        <w:t xml:space="preserve"> </w:t>
      </w:r>
      <w:r w:rsidRPr="002E5684">
        <w:rPr>
          <w:rFonts w:cstheme="minorHAnsi"/>
          <w:shd w:val="clear" w:color="auto" w:fill="FFFFFF"/>
        </w:rPr>
        <w:t xml:space="preserve">(Figure </w:t>
      </w:r>
      <w:r>
        <w:rPr>
          <w:rFonts w:cstheme="minorHAnsi"/>
          <w:shd w:val="clear" w:color="auto" w:fill="FFFFFF"/>
        </w:rPr>
        <w:t>B</w:t>
      </w:r>
      <w:r w:rsidRPr="002E5684">
        <w:rPr>
          <w:rFonts w:cstheme="minorHAnsi"/>
          <w:shd w:val="clear" w:color="auto" w:fill="FFFFFF"/>
        </w:rPr>
        <w:t xml:space="preserve">). </w:t>
      </w:r>
      <w:r>
        <w:rPr>
          <w:rFonts w:cstheme="minorHAnsi"/>
          <w:shd w:val="clear" w:color="auto" w:fill="FFFFFF"/>
        </w:rPr>
        <w:t xml:space="preserve">For sequences lacking </w:t>
      </w:r>
      <w:proofErr w:type="spellStart"/>
      <w:r>
        <w:rPr>
          <w:rFonts w:cstheme="minorHAnsi"/>
          <w:shd w:val="clear" w:color="auto" w:fill="FFFFFF"/>
        </w:rPr>
        <w:t>rMLST</w:t>
      </w:r>
      <w:proofErr w:type="spellEnd"/>
      <w:r>
        <w:rPr>
          <w:rFonts w:cstheme="minorHAnsi"/>
          <w:shd w:val="clear" w:color="auto" w:fill="FFFFFF"/>
        </w:rPr>
        <w:t xml:space="preserve"> loci, rather than simply assuming such sequences are plasmids (as in Figure A), plasmid replicon typing, as well as contig completeness and source sample affiliation information is used to classify contigs as plasmids, putative </w:t>
      </w:r>
      <w:proofErr w:type="gramStart"/>
      <w:r>
        <w:rPr>
          <w:rFonts w:cstheme="minorHAnsi"/>
          <w:shd w:val="clear" w:color="auto" w:fill="FFFFFF"/>
        </w:rPr>
        <w:t>plasmids</w:t>
      </w:r>
      <w:proofErr w:type="gramEnd"/>
      <w:r>
        <w:rPr>
          <w:rFonts w:cstheme="minorHAnsi"/>
          <w:shd w:val="clear" w:color="auto" w:fill="FFFFFF"/>
        </w:rPr>
        <w:t xml:space="preserve"> or unknown sequences (Figure B). This more conservative approach accounts for the fact that temperate or lytic phages as well as chromosomal fragments may lack </w:t>
      </w:r>
      <w:proofErr w:type="spellStart"/>
      <w:r>
        <w:rPr>
          <w:rFonts w:cstheme="minorHAnsi"/>
          <w:shd w:val="clear" w:color="auto" w:fill="FFFFFF"/>
        </w:rPr>
        <w:t>rMLST</w:t>
      </w:r>
      <w:proofErr w:type="spellEnd"/>
      <w:r>
        <w:rPr>
          <w:rFonts w:cstheme="minorHAnsi"/>
          <w:shd w:val="clear" w:color="auto" w:fill="FFFFFF"/>
        </w:rPr>
        <w:t xml:space="preserve"> loci – I expect these sequences to be annotated as “unknown” or “putative plasmid” due to lack of plasmid replicon loci.</w:t>
      </w:r>
    </w:p>
    <w:p w14:paraId="730575C9" w14:textId="77777777" w:rsidR="00FA7245" w:rsidRDefault="00FA7245" w:rsidP="00FA7245">
      <w:pPr>
        <w:spacing w:afterLines="160" w:after="384" w:line="480" w:lineRule="auto"/>
        <w:jc w:val="both"/>
        <w:rPr>
          <w:rFonts w:cstheme="minorHAnsi"/>
          <w:shd w:val="clear" w:color="auto" w:fill="FFFFFF"/>
        </w:rPr>
      </w:pPr>
      <w:r w:rsidRPr="002E5684">
        <w:rPr>
          <w:rFonts w:cstheme="minorHAnsi"/>
          <w:shd w:val="clear" w:color="auto" w:fill="FFFFFF"/>
        </w:rPr>
        <w:lastRenderedPageBreak/>
        <w:t xml:space="preserve">Arguably, if dealing with complete assemblies from bacterial taxa that tend not to harbour chromids, then assigning the longest contig as the chromosome and all other contigs as plasmids is reasonable. However, even with long-reads, bacterial assemblies often fail to resolve perfectly such that one contig represents one replicon </w:t>
      </w:r>
      <w:r w:rsidRPr="002E5684">
        <w:rPr>
          <w:rFonts w:cstheme="minorHAnsi"/>
          <w:shd w:val="clear" w:color="auto" w:fill="FFFFFF"/>
        </w:rPr>
        <w:fldChar w:fldCharType="begin" w:fldLock="1"/>
      </w:r>
      <w:r w:rsidRPr="002E5684">
        <w:rPr>
          <w:rFonts w:cstheme="minorHAnsi"/>
          <w:shd w:val="clear" w:color="auto" w:fill="FFFFFF"/>
        </w:rPr>
        <w:instrText>ADDIN CSL_CITATION {"citationItems":[{"id":"ITEM-1","itemData":{"DOI":"10.1099/mgen.0.000132","ISSN":"20575858","PMID":"29177090","abstract":"Illumina sequencing platforms have enabled widespread bacterial whole genome sequencing. While Illumina data is appropriate for many analyses, its short read length limits its ability to resolve genomic structure. This has major implications for tracking the spread of mobile genetic elements, including those which carry antimicrobial resistance determinants. Fully resolving a bacterial genome requires long-read sequencing such as those generated by Oxford Nanopore Technologies (ONT) platforms. Here we describe our use of the ONT MinION to sequence 12 isolates of Klebsiella pneumoniae on a single flow cell. We assembled each genome using a combination of ONT reads and previously available Illumina reads, and little to no manual intervention was needed to achieve fully resolved assemblies using the Unicycler hybrid assembler. Assembling only ONT reads with Canu was less effective, resulting in fewer resolved genomes and higher error rates even following error correction with Nanopolish. We demonstrate that multiplexed ONT sequencing is a valuable tool for high-throughput bacterial genome finishing. Specifically, we advocate the use of Illumina sequencing as a first analysis step, followed by ONT reads as needed to resolve genomic structure.","author":[{"dropping-particle":"","family":"Wick","given":"Ryan R.","non-dropping-particle":"","parse-names":false,"suffix":""},{"dropping-particle":"","family":"Judd","given":"Louise M.","non-dropping-particle":"","parse-names":false,"suffix":""},{"dropping-particle":"","family":"Gorrie","given":"Claire L.","non-dropping-particle":"","parse-names":false,"suffix":""},{"dropping-particle":"","family":"Holt","given":"Kathryn E.","non-dropping-particle":"","parse-names":false,"suffix":""}],"container-title":"Microbial Genomics","id":"ITEM-1","issued":{"date-parts":[["2017"]]},"title":"Completing bacterial genome assemblies with multiplex MinION sequencing","type":"article-journal"},"uris":["http://www.mendeley.com/documents/?uuid=d061ab93-42a9-4ae7-a9ca-d75b98496dfe"]}],"mendeley":{"formattedCitation":"(Wick et al., 2017)","plainTextFormattedCitation":"(Wick et al., 2017)","previouslyFormattedCitation":"(Wick et al., 2017)"},"properties":{"noteIndex":0},"schema":"https://github.com/citation-style-language/schema/raw/master/csl-citation.json"}</w:instrText>
      </w:r>
      <w:r w:rsidRPr="002E5684">
        <w:rPr>
          <w:rFonts w:cstheme="minorHAnsi"/>
          <w:shd w:val="clear" w:color="auto" w:fill="FFFFFF"/>
        </w:rPr>
        <w:fldChar w:fldCharType="separate"/>
      </w:r>
      <w:r w:rsidRPr="002E5684">
        <w:rPr>
          <w:rFonts w:cstheme="minorHAnsi"/>
          <w:noProof/>
          <w:shd w:val="clear" w:color="auto" w:fill="FFFFFF"/>
        </w:rPr>
        <w:t>(Wick et al., 2017)</w:t>
      </w:r>
      <w:r w:rsidRPr="002E5684">
        <w:rPr>
          <w:rFonts w:cstheme="minorHAnsi"/>
          <w:shd w:val="clear" w:color="auto" w:fill="FFFFFF"/>
        </w:rPr>
        <w:fldChar w:fldCharType="end"/>
      </w:r>
      <w:r w:rsidRPr="002E5684">
        <w:rPr>
          <w:rFonts w:cstheme="minorHAnsi"/>
          <w:shd w:val="clear" w:color="auto" w:fill="FFFFFF"/>
        </w:rPr>
        <w:t xml:space="preserve">. bacterialBercow provides a robust and automated approach for contig </w:t>
      </w:r>
      <w:proofErr w:type="gramStart"/>
      <w:r w:rsidRPr="002E5684">
        <w:rPr>
          <w:rFonts w:cstheme="minorHAnsi"/>
          <w:shd w:val="clear" w:color="auto" w:fill="FFFFFF"/>
        </w:rPr>
        <w:t>classification, and</w:t>
      </w:r>
      <w:proofErr w:type="gramEnd"/>
      <w:r w:rsidRPr="002E5684">
        <w:rPr>
          <w:rFonts w:cstheme="minorHAnsi"/>
          <w:shd w:val="clear" w:color="auto" w:fill="FFFFFF"/>
        </w:rPr>
        <w:t xml:space="preserve"> is especially useful when dealing with assemblies that are near-complete but not perfectly resolved (or when dealing with contigs from taxa known to sometimes harbour chromids).</w:t>
      </w:r>
    </w:p>
    <w:p w14:paraId="33849C54" w14:textId="77777777" w:rsidR="00FA7245" w:rsidRDefault="00FA7245" w:rsidP="00FA7245">
      <w:pPr>
        <w:spacing w:afterLines="160" w:after="384" w:line="480" w:lineRule="auto"/>
        <w:jc w:val="both"/>
        <w:rPr>
          <w:rFonts w:cstheme="minorHAnsi"/>
          <w:shd w:val="clear" w:color="auto" w:fill="FFFFFF"/>
        </w:rPr>
      </w:pPr>
    </w:p>
    <w:p w14:paraId="016E032F" w14:textId="77777777" w:rsidR="00FA7245" w:rsidRDefault="00FA7245" w:rsidP="00FA7245">
      <w:pPr>
        <w:keepNext/>
        <w:spacing w:afterLines="160" w:after="384"/>
        <w:jc w:val="both"/>
      </w:pPr>
      <w:r>
        <w:rPr>
          <w:noProof/>
        </w:rPr>
        <w:drawing>
          <wp:inline distT="0" distB="0" distL="0" distR="0" wp14:anchorId="3554561B" wp14:editId="7F781F73">
            <wp:extent cx="5741670" cy="3266941"/>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r="1143"/>
                    <a:stretch/>
                  </pic:blipFill>
                  <pic:spPr bwMode="auto">
                    <a:xfrm>
                      <a:off x="0" y="0"/>
                      <a:ext cx="5747284" cy="3270135"/>
                    </a:xfrm>
                    <a:prstGeom prst="rect">
                      <a:avLst/>
                    </a:prstGeom>
                    <a:noFill/>
                    <a:ln>
                      <a:noFill/>
                    </a:ln>
                    <a:extLst>
                      <a:ext uri="{53640926-AAD7-44D8-BBD7-CCE9431645EC}">
                        <a14:shadowObscured xmlns:a14="http://schemas.microsoft.com/office/drawing/2010/main"/>
                      </a:ext>
                    </a:extLst>
                  </pic:spPr>
                </pic:pic>
              </a:graphicData>
            </a:graphic>
          </wp:inline>
        </w:drawing>
      </w:r>
    </w:p>
    <w:p w14:paraId="747CCC2E" w14:textId="77777777" w:rsidR="00FA7245" w:rsidRPr="002C790B" w:rsidRDefault="00FA7245" w:rsidP="00FA7245">
      <w:pPr>
        <w:pStyle w:val="Caption"/>
        <w:jc w:val="both"/>
      </w:pPr>
      <w:r w:rsidRPr="002576C1">
        <w:rPr>
          <w:b/>
          <w:bCs/>
        </w:rPr>
        <w:t xml:space="preserve">Figure </w:t>
      </w:r>
      <w:r w:rsidRPr="002576C1">
        <w:rPr>
          <w:b/>
          <w:bCs/>
        </w:rPr>
        <w:fldChar w:fldCharType="begin"/>
      </w:r>
      <w:r w:rsidRPr="002576C1">
        <w:rPr>
          <w:b/>
          <w:bCs/>
        </w:rPr>
        <w:instrText xml:space="preserve"> SEQ Figure_A \* ALPHABETIC </w:instrText>
      </w:r>
      <w:r w:rsidRPr="002576C1">
        <w:rPr>
          <w:b/>
          <w:bCs/>
        </w:rPr>
        <w:fldChar w:fldCharType="separate"/>
      </w:r>
      <w:r w:rsidRPr="002576C1">
        <w:rPr>
          <w:b/>
          <w:bCs/>
          <w:noProof/>
        </w:rPr>
        <w:t>B</w:t>
      </w:r>
      <w:r w:rsidRPr="002576C1">
        <w:rPr>
          <w:b/>
          <w:bCs/>
        </w:rPr>
        <w:fldChar w:fldCharType="end"/>
      </w:r>
      <w:r w:rsidRPr="002576C1">
        <w:rPr>
          <w:b/>
          <w:bCs/>
        </w:rPr>
        <w:t>.</w:t>
      </w:r>
      <w:r>
        <w:t xml:space="preserve"> </w:t>
      </w:r>
      <w:r w:rsidRPr="002C790B">
        <w:t>Decision tree used to classify sequences from in-house assemblies.</w:t>
      </w:r>
    </w:p>
    <w:p w14:paraId="72B2040F" w14:textId="77777777" w:rsidR="00FA7245" w:rsidRDefault="00FA7245" w:rsidP="00FA7245">
      <w:pPr>
        <w:spacing w:line="480" w:lineRule="auto"/>
      </w:pPr>
    </w:p>
    <w:p w14:paraId="3252A8DD" w14:textId="77777777" w:rsidR="00FA7245" w:rsidRDefault="00FA7245" w:rsidP="00FA7245">
      <w:pPr>
        <w:spacing w:line="480" w:lineRule="auto"/>
        <w:jc w:val="both"/>
        <w:rPr>
          <w:rFonts w:cstheme="minorHAnsi"/>
          <w:shd w:val="clear" w:color="auto" w:fill="FFFFFF"/>
        </w:rPr>
      </w:pPr>
      <w:r w:rsidRPr="002E5684">
        <w:rPr>
          <w:rFonts w:cstheme="minorHAnsi"/>
          <w:shd w:val="clear" w:color="auto" w:fill="FFFFFF"/>
        </w:rPr>
        <w:t xml:space="preserve">If sufficient </w:t>
      </w:r>
      <w:proofErr w:type="spellStart"/>
      <w:r w:rsidRPr="002E5684">
        <w:rPr>
          <w:rFonts w:cstheme="minorHAnsi"/>
          <w:shd w:val="clear" w:color="auto" w:fill="FFFFFF"/>
        </w:rPr>
        <w:t>rMLST</w:t>
      </w:r>
      <w:proofErr w:type="spellEnd"/>
      <w:r w:rsidRPr="002E5684">
        <w:rPr>
          <w:rFonts w:cstheme="minorHAnsi"/>
          <w:shd w:val="clear" w:color="auto" w:fill="FFFFFF"/>
        </w:rPr>
        <w:t xml:space="preserve"> alleles are detected, then bacterialBercow can make an unambiguous species assignment. </w:t>
      </w:r>
      <w:r>
        <w:rPr>
          <w:rFonts w:cstheme="minorHAnsi"/>
          <w:shd w:val="clear" w:color="auto" w:fill="FFFFFF"/>
        </w:rPr>
        <w:t>S</w:t>
      </w:r>
      <w:r>
        <w:rPr>
          <w:rFonts w:cstheme="minorHAnsi"/>
        </w:rPr>
        <w:t xml:space="preserve">peciation proceeds as follows: each profile is assessed according to the number of loci at which the detected allele matches the allele in the profile (if the locus is ‘N’ in the profile, a match is not possible). This leaves one or more best-matching profiles. Speciation is determined according </w:t>
      </w:r>
      <w:r>
        <w:rPr>
          <w:rFonts w:cstheme="minorHAnsi"/>
        </w:rPr>
        <w:lastRenderedPageBreak/>
        <w:t xml:space="preserve">to the species associated with the best-matching profile(s). If there are insufficient matching loci, then a single species assignment will not be possible, in which case multiple possible species or genera are listed. Statistics associated with the best matching profile are then calculated (if there are multiple best matching profiles, one is selected arbitrarily). Specifically, the number of matches, mismatches, and missing loci are calculated. A mismatch occurs when the locus is represented but the allele does not match the allele in the profile. In addition, the number of multi-allelic loci are calculated (see below). </w:t>
      </w:r>
      <w:r w:rsidRPr="002E5684">
        <w:rPr>
          <w:rFonts w:cstheme="minorHAnsi"/>
          <w:shd w:val="clear" w:color="auto" w:fill="FFFFFF"/>
        </w:rPr>
        <w:t xml:space="preserve">Standard 7-locus MLST has been widely used for speciation </w:t>
      </w:r>
      <w:r w:rsidRPr="002E5684">
        <w:rPr>
          <w:rFonts w:cstheme="minorHAnsi"/>
          <w:shd w:val="clear" w:color="auto" w:fill="FFFFFF"/>
        </w:rPr>
        <w:fldChar w:fldCharType="begin" w:fldLock="1"/>
      </w:r>
      <w:r w:rsidRPr="002E5684">
        <w:rPr>
          <w:rFonts w:cstheme="minorHAnsi"/>
          <w:shd w:val="clear" w:color="auto" w:fill="FFFFFF"/>
        </w:rPr>
        <w:instrText>ADDIN CSL_CITATION {"citationItems":[{"id":"ITEM-1","itemData":{"DOI":"10.7717/peerj.5098","ISSN":"21678359","abstract":"Multilocus sequence typing (MLST) is a standard tool in population genetics and bacterial epidemiology that assesses the genetic variation present in a reduced number of housekeeping genes (typically seven) along the genome. This methodology assigns arbitrary integer identifiers to genetic variations at these loci which allows us to efficiently compare bacterial isolates using allele-based methods. Now, the increasing availability of whole-genome sequences for hundreds to thousands of strains from the same bacterial species has allowed us to apply and extend MLST schemes by automatic extraction of allele information from the genomes. The PubMLST database is the most comprehensive resource of described schemes available for a wide variety of species. Here we present MLSTar as the first R package that allows us to (i) connect with the PubMLST database to select a target scheme, (ii) screen a desired set of genomes to assign alleles and sequence types, and (iii) interact with other widely used R packages to analyze and produce graphical representations of the data. We applied MLSTar to analyze more than 2,500 bacterial genomes from different species, showing great accuracy, and comparable performance with previously published command-line tools. MLSTar can be freely downloaded from http://github.com/iferres/MLSTar.","author":[{"dropping-particle":"","family":"Ferrés","given":"Ignacio","non-dropping-particle":"","parse-names":false,"suffix":""},{"dropping-particle":"","family":"Iraola","given":"Gregorio","non-dropping-particle":"","parse-names":false,"suffix":""}],"container-title":"PeerJ","id":"ITEM-1","issued":{"date-parts":[["2018"]]},"title":"MLSTar: Automatic multilocus sequence typing of bacterial genomes in R","type":"article-journal"},"uris":["http://www.mendeley.com/documents/?uuid=c3546164-5a98-4b0d-9b4e-d2fc927a9cd4"]},{"id":"ITEM-2","itemData":{"DOI":"10.21105/joss.00118","ISSN":"2475-9066","abstract":"Multilocus sequence typing (MLST) is a standard method for categorising genomes (M. C. Maiden et al. 1998) based on variation in a small set of conserved house keeping genes. It allows for rapid identification of genomes into high level categories and is extremely useful for epidemiological investigations (R. Urwin and Maiden 2003) making it a key tool for public health reference laboratories. Whilst MLST is more commonly associated with classical sequencing methods, it is possible to extract the same information from Next Generation Sequencing data, in particular from de novo assemblies which are generated routinely for bacterial sequencing data (Page et al. 2016). We provide a scalable command line tool, MLSTcheck, which can take multiple de novo assemblies and output detailed information about the sequence type of the samples. It provides access to 124 MLST databases covering all of the major human disease causing bacterial pathogens. MLSTcheck can search one or more databases at once, is paral-lelisable, fast and robust. When a sample contains more than one allele, it flags the contaminant since there should only be 1 copy of a house keeping gene in a well designed MLST scheme. A multiple FASTA alignment of the concatenated MLST genes is op-tionally produced, allowing for the creation of phylogenetic trees. This allows for rapid epidemiological outbreak investigations. Whilst other software applications can perform similar functions (Seeman 2016; Jolley and Maiden 2010), this application follows more rigorous software engineering principles, including automated testing, continuous integra-tion, object orientated code, and is installable via CPAN (a Perl package manager). In a large diverse set of 6814 publicly accessible draft assemblies, MLSTcheck was able to assign a sequence type in 99.6% of cases (Page et al. 2016).","author":[{"dropping-particle":"","family":"Page","given":"Andrew","non-dropping-particle":"","parse-names":false,"suffix":""},{"dropping-particle":"","family":"Taylor","given":"Ben","non-dropping-particle":"","parse-names":false,"suffix":""},{"dropping-particle":"","family":"Keane","given":"Jacqueline","non-dropping-particle":"","parse-names":false,"suffix":""}],"container-title":"The Journal of Open Source Software","id":"ITEM-2","issue":"8","issued":{"date-parts":[["2016"]]},"page":"118","title":"Multilocus sequence typing by blast from de novo assemblies against PubMLST","type":"article-journal","volume":"1"},"uris":["http://www.mendeley.com/documents/?uuid=77a2a10f-bc3f-4b20-a440-17ade456a865"]}],"mendeley":{"formattedCitation":"(Page et al., 2016; Ferrés and Iraola, 2018)","plainTextFormattedCitation":"(Page et al., 2016; Ferrés and Iraola, 2018)","previouslyFormattedCitation":"(Page et al., 2016; Ferrés and Iraola, 2018)"},"properties":{"noteIndex":0},"schema":"https://github.com/citation-style-language/schema/raw/master/csl-citation.json"}</w:instrText>
      </w:r>
      <w:r w:rsidRPr="002E5684">
        <w:rPr>
          <w:rFonts w:cstheme="minorHAnsi"/>
          <w:shd w:val="clear" w:color="auto" w:fill="FFFFFF"/>
        </w:rPr>
        <w:fldChar w:fldCharType="separate"/>
      </w:r>
      <w:r w:rsidRPr="002E5684">
        <w:rPr>
          <w:rFonts w:cstheme="minorHAnsi"/>
          <w:noProof/>
          <w:shd w:val="clear" w:color="auto" w:fill="FFFFFF"/>
        </w:rPr>
        <w:t>(Page et al., 2016; Ferrés and Iraola, 2018)</w:t>
      </w:r>
      <w:r w:rsidRPr="002E5684">
        <w:rPr>
          <w:rFonts w:cstheme="minorHAnsi"/>
          <w:shd w:val="clear" w:color="auto" w:fill="FFFFFF"/>
        </w:rPr>
        <w:fldChar w:fldCharType="end"/>
      </w:r>
      <w:r w:rsidRPr="002E5684">
        <w:rPr>
          <w:rFonts w:cstheme="minorHAnsi"/>
          <w:shd w:val="clear" w:color="auto" w:fill="FFFFFF"/>
        </w:rPr>
        <w:t xml:space="preserve"> (</w:t>
      </w:r>
      <w:hyperlink r:id="rId11" w:history="1">
        <w:r w:rsidRPr="007510ED">
          <w:rPr>
            <w:rStyle w:val="Hyperlink"/>
          </w:rPr>
          <w:t>https://github.com/tseemann/mlst</w:t>
        </w:r>
      </w:hyperlink>
      <w:r w:rsidRPr="002E5684">
        <w:rPr>
          <w:rFonts w:cstheme="minorHAnsi"/>
          <w:shd w:val="clear" w:color="auto" w:fill="FFFFFF"/>
        </w:rPr>
        <w:t xml:space="preserve">). However, as explained above, MLST schemes are only available for a subset of bacterial taxa, so </w:t>
      </w:r>
      <w:proofErr w:type="spellStart"/>
      <w:r w:rsidRPr="002E5684">
        <w:rPr>
          <w:rFonts w:cstheme="minorHAnsi"/>
          <w:shd w:val="clear" w:color="auto" w:fill="FFFFFF"/>
        </w:rPr>
        <w:t>rMLST</w:t>
      </w:r>
      <w:proofErr w:type="spellEnd"/>
      <w:r w:rsidRPr="002E5684">
        <w:rPr>
          <w:rFonts w:cstheme="minorHAnsi"/>
          <w:shd w:val="clear" w:color="auto" w:fill="FFFFFF"/>
        </w:rPr>
        <w:t xml:space="preserve"> is more widely applicable for genomic taxonomy, </w:t>
      </w:r>
      <w:proofErr w:type="gramStart"/>
      <w:r w:rsidRPr="002E5684">
        <w:rPr>
          <w:rFonts w:cstheme="minorHAnsi"/>
          <w:shd w:val="clear" w:color="auto" w:fill="FFFFFF"/>
        </w:rPr>
        <w:t>and also</w:t>
      </w:r>
      <w:proofErr w:type="gramEnd"/>
      <w:r w:rsidRPr="002E5684">
        <w:rPr>
          <w:rFonts w:cstheme="minorHAnsi"/>
          <w:shd w:val="clear" w:color="auto" w:fill="FFFFFF"/>
        </w:rPr>
        <w:t xml:space="preserve"> provides higher resolution typing than standard MLST. </w:t>
      </w:r>
    </w:p>
    <w:p w14:paraId="2824F20A" w14:textId="77777777" w:rsidR="00FA7245" w:rsidRPr="009D7E2F" w:rsidRDefault="00FA7245" w:rsidP="00FA7245">
      <w:pPr>
        <w:spacing w:line="480" w:lineRule="auto"/>
        <w:jc w:val="both"/>
      </w:pPr>
      <w:r w:rsidRPr="002E5684">
        <w:rPr>
          <w:rFonts w:cstheme="minorHAnsi"/>
          <w:shd w:val="clear" w:color="auto" w:fill="FFFFFF"/>
        </w:rPr>
        <w:t xml:space="preserve">Besides genomic taxonomy, analysis of </w:t>
      </w:r>
      <w:proofErr w:type="spellStart"/>
      <w:r w:rsidRPr="002E5684">
        <w:rPr>
          <w:rFonts w:cstheme="minorHAnsi"/>
          <w:shd w:val="clear" w:color="auto" w:fill="FFFFFF"/>
        </w:rPr>
        <w:t>rMLST</w:t>
      </w:r>
      <w:proofErr w:type="spellEnd"/>
      <w:r w:rsidRPr="002E5684">
        <w:rPr>
          <w:rFonts w:cstheme="minorHAnsi"/>
          <w:shd w:val="clear" w:color="auto" w:fill="FFFFFF"/>
        </w:rPr>
        <w:t xml:space="preserve"> loci can also be used to infer contamination</w:t>
      </w:r>
      <w:r>
        <w:rPr>
          <w:rFonts w:cstheme="minorHAnsi"/>
          <w:shd w:val="clear" w:color="auto" w:fill="FFFFFF"/>
        </w:rPr>
        <w:t xml:space="preserve"> </w:t>
      </w:r>
      <w:r>
        <w:rPr>
          <w:rFonts w:cstheme="minorHAnsi"/>
          <w:shd w:val="clear" w:color="auto" w:fill="FFFFFF"/>
        </w:rPr>
        <w:fldChar w:fldCharType="begin" w:fldLock="1"/>
      </w:r>
      <w:r>
        <w:rPr>
          <w:rFonts w:cstheme="minorHAnsi"/>
          <w:shd w:val="clear" w:color="auto" w:fill="FFFFFF"/>
        </w:rPr>
        <w:instrText>ADDIN CSL_CITATION {"citationItems":[{"id":"ITEM-1","itemData":{"DOI":"10.7717/peerj.6995","ISSN":"21678359","abstract":"Whole-genome sequencing (WGS) of bacterial pathogens is currently widely used to support public-health investigations. The ability to assess WGS data quality is critical to underpin the reliability of downstream analyses. Sequence contamination is a quality issue that could potentially impact WGS-based findings; however, existing tools do not readily identify contamination from closely-related organisms. To address this gap, we have developed a computational pipeline, ConFindr, for detection of intraspecies contamination. ConFindr determines the presence of contaminating sequences based on the identification of multiple alleles of core, single-copy, ribosomal-protein genes in raw sequencing reads. The performance of this tool was assessed using simulated and lab-generated Illumina short-read WGS data with varying levels of contamination (0_20% of reads) and varying genetic distance between the designated target and contaminant strains. Intraspecies and cross-species contamination was reliably detected in datasets containing 5% or more reads from a second, unrelated strain. ConFindr detected intraspecies contamination with higher sensitivity than existing tools, while also being able to automatically detect cross-species contamination with similar sensitivity. The implementation of ConFindr in quality-control pipelines will help to improve the reliability of WGS databases as well as the accuracy of downstream analyses. ConFindr is written in Python, and is freely available under the MIT License at github.com/OLC-Bioinformatics/ConFindr.","author":[{"dropping-particle":"","family":"Low","given":"Andrew J.","non-dropping-particle":"","parse-names":false,"suffix":""},{"dropping-particle":"","family":"Koziol","given":"Adam G.","non-dropping-particle":"","parse-names":false,"suffix":""},{"dropping-particle":"","family":"Manninger","given":"Paul A.","non-dropping-particle":"","parse-names":false,"suffix":""},{"dropping-particle":"","family":"Blais","given":"Burton","non-dropping-particle":"","parse-names":false,"suffix":""},{"dropping-particle":"","family":"Carrillo","given":"Catherine D.","non-dropping-particle":"","parse-names":false,"suffix":""}],"container-title":"PeerJ","id":"ITEM-1","issued":{"date-parts":[["2019"]]},"title":"ConFindr: Rapid detection of intraspecies and cross-species contamination in bacterial whole-genome sequence data","type":"article-journal"},"uris":["http://www.mendeley.com/documents/?uuid=27349dd6-7b3f-44b6-b121-5d6fae7d51fd"]}],"mendeley":{"formattedCitation":"(Low et al., 2019)","plainTextFormattedCitation":"(Low et al., 2019)","previouslyFormattedCitation":"(Low et al., 2019)"},"properties":{"noteIndex":0},"schema":"https://github.com/citation-style-language/schema/raw/master/csl-citation.json"}</w:instrText>
      </w:r>
      <w:r>
        <w:rPr>
          <w:rFonts w:cstheme="minorHAnsi"/>
          <w:shd w:val="clear" w:color="auto" w:fill="FFFFFF"/>
        </w:rPr>
        <w:fldChar w:fldCharType="separate"/>
      </w:r>
      <w:r w:rsidRPr="00B6638B">
        <w:rPr>
          <w:rFonts w:cstheme="minorHAnsi"/>
          <w:noProof/>
          <w:shd w:val="clear" w:color="auto" w:fill="FFFFFF"/>
        </w:rPr>
        <w:t>(Low et al., 2019)</w:t>
      </w:r>
      <w:r>
        <w:rPr>
          <w:rFonts w:cstheme="minorHAnsi"/>
          <w:shd w:val="clear" w:color="auto" w:fill="FFFFFF"/>
        </w:rPr>
        <w:fldChar w:fldCharType="end"/>
      </w:r>
      <w:r w:rsidRPr="002E5684">
        <w:rPr>
          <w:rFonts w:cstheme="minorHAnsi"/>
          <w:shd w:val="clear" w:color="auto" w:fill="FFFFFF"/>
        </w:rPr>
        <w:t xml:space="preserve">. </w:t>
      </w:r>
      <w:proofErr w:type="spellStart"/>
      <w:r w:rsidRPr="002E5684">
        <w:rPr>
          <w:rFonts w:cstheme="minorHAnsi"/>
          <w:shd w:val="clear" w:color="auto" w:fill="FFFFFF"/>
        </w:rPr>
        <w:t>rMLST</w:t>
      </w:r>
      <w:proofErr w:type="spellEnd"/>
      <w:r w:rsidRPr="002E5684">
        <w:rPr>
          <w:rFonts w:cstheme="minorHAnsi"/>
          <w:shd w:val="clear" w:color="auto" w:fill="FFFFFF"/>
        </w:rPr>
        <w:t xml:space="preserve"> loci are generally represented as a single allele per </w:t>
      </w:r>
      <w:proofErr w:type="gramStart"/>
      <w:r w:rsidRPr="002E5684">
        <w:rPr>
          <w:rFonts w:cstheme="minorHAnsi"/>
          <w:shd w:val="clear" w:color="auto" w:fill="FFFFFF"/>
        </w:rPr>
        <w:t>genome, and</w:t>
      </w:r>
      <w:proofErr w:type="gramEnd"/>
      <w:r w:rsidRPr="002E5684">
        <w:rPr>
          <w:rFonts w:cstheme="minorHAnsi"/>
          <w:shd w:val="clear" w:color="auto" w:fill="FFFFFF"/>
        </w:rPr>
        <w:t xml:space="preserve"> known exceptions to this are </w:t>
      </w:r>
      <w:r>
        <w:rPr>
          <w:rFonts w:cstheme="minorHAnsi"/>
          <w:shd w:val="clear" w:color="auto" w:fill="FFFFFF"/>
        </w:rPr>
        <w:t>indicated in the profiles.txt file</w:t>
      </w:r>
      <w:r>
        <w:rPr>
          <w:rStyle w:val="FootnoteReference"/>
          <w:rFonts w:cstheme="minorHAnsi"/>
          <w:shd w:val="clear" w:color="auto" w:fill="FFFFFF"/>
        </w:rPr>
        <w:footnoteReference w:id="2"/>
      </w:r>
      <w:r>
        <w:rPr>
          <w:rFonts w:cstheme="minorHAnsi"/>
          <w:shd w:val="clear" w:color="auto" w:fill="FFFFFF"/>
        </w:rPr>
        <w:t xml:space="preserve">. </w:t>
      </w:r>
      <w:r w:rsidRPr="002E5684">
        <w:rPr>
          <w:rFonts w:cstheme="minorHAnsi"/>
          <w:shd w:val="clear" w:color="auto" w:fill="FFFFFF"/>
        </w:rPr>
        <w:t xml:space="preserve">Therefore, if analysis of sequencing data from a purportedly single isolate sample reveals multiple alleles for any given locus, this indicates sample contamination. Accounting for known exceptions, bacterialBercow reports the number of </w:t>
      </w:r>
      <w:r>
        <w:rPr>
          <w:rFonts w:cstheme="minorHAnsi"/>
          <w:shd w:val="clear" w:color="auto" w:fill="FFFFFF"/>
        </w:rPr>
        <w:t xml:space="preserve">multi-allelic </w:t>
      </w:r>
      <w:r w:rsidRPr="002E5684">
        <w:rPr>
          <w:rFonts w:cstheme="minorHAnsi"/>
          <w:shd w:val="clear" w:color="auto" w:fill="FFFFFF"/>
        </w:rPr>
        <w:t>loci, and this can be used to flag potential contamination</w:t>
      </w:r>
      <w:r>
        <w:rPr>
          <w:rFonts w:cstheme="minorHAnsi"/>
          <w:shd w:val="clear" w:color="auto" w:fill="FFFFFF"/>
        </w:rPr>
        <w:t>.</w:t>
      </w:r>
    </w:p>
    <w:p w14:paraId="0A4F3D44" w14:textId="77777777" w:rsidR="00DE6CB3" w:rsidRDefault="00DE6CB3"/>
    <w:sectPr w:rsidR="00DE6CB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76ACC" w14:textId="77777777" w:rsidR="00F86DE6" w:rsidRDefault="00F86DE6" w:rsidP="00FA7245">
      <w:pPr>
        <w:spacing w:after="0" w:line="240" w:lineRule="auto"/>
      </w:pPr>
      <w:r>
        <w:separator/>
      </w:r>
    </w:p>
  </w:endnote>
  <w:endnote w:type="continuationSeparator" w:id="0">
    <w:p w14:paraId="63AB1CF7" w14:textId="77777777" w:rsidR="00F86DE6" w:rsidRDefault="00F86DE6" w:rsidP="00FA7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6F33F" w14:textId="77777777" w:rsidR="00F86DE6" w:rsidRDefault="00F86DE6" w:rsidP="00FA7245">
      <w:pPr>
        <w:spacing w:after="0" w:line="240" w:lineRule="auto"/>
      </w:pPr>
      <w:r>
        <w:separator/>
      </w:r>
    </w:p>
  </w:footnote>
  <w:footnote w:type="continuationSeparator" w:id="0">
    <w:p w14:paraId="6DA55A1A" w14:textId="77777777" w:rsidR="00F86DE6" w:rsidRDefault="00F86DE6" w:rsidP="00FA7245">
      <w:pPr>
        <w:spacing w:after="0" w:line="240" w:lineRule="auto"/>
      </w:pPr>
      <w:r>
        <w:continuationSeparator/>
      </w:r>
    </w:p>
  </w:footnote>
  <w:footnote w:id="1">
    <w:p w14:paraId="3E5B7038" w14:textId="77777777" w:rsidR="00FA7245" w:rsidRDefault="00FA7245" w:rsidP="00FA7245">
      <w:pPr>
        <w:pStyle w:val="FootnoteText"/>
      </w:pPr>
      <w:r>
        <w:rPr>
          <w:rStyle w:val="FootnoteReference"/>
        </w:rPr>
        <w:footnoteRef/>
      </w:r>
      <w:r w:rsidRPr="00DB1ADA">
        <w:t>The name of the tool is inspired by the former Speaker of the UK House of Commons, John Bercow, who was responsible for bringing order to a divided Parliament, during unruly times. Likewise, bacterialBercow brings order to the different divisions of the bacterial genomes (chromosome, plasmid, chromid); these are unruly times for microbiologists too – faced with a deluge of bacterial genome sequences, available via NCBI and from in-house sequencing projects.</w:t>
      </w:r>
    </w:p>
  </w:footnote>
  <w:footnote w:id="2">
    <w:p w14:paraId="54ECEE7B" w14:textId="77777777" w:rsidR="00FA7245" w:rsidRDefault="00FA7245" w:rsidP="00FA7245">
      <w:pPr>
        <w:pStyle w:val="FootnoteText"/>
      </w:pPr>
      <w:r>
        <w:rPr>
          <w:rStyle w:val="FootnoteReference"/>
        </w:rPr>
        <w:footnoteRef/>
      </w:r>
      <w:r>
        <w:rPr>
          <w:rFonts w:cstheme="minorHAnsi"/>
          <w:shd w:val="clear" w:color="auto" w:fill="FFFFFF"/>
        </w:rPr>
        <w:t>E</w:t>
      </w:r>
      <w:r w:rsidRPr="00560DEB">
        <w:rPr>
          <w:rFonts w:cstheme="minorHAnsi"/>
          <w:shd w:val="clear" w:color="auto" w:fill="FFFFFF"/>
        </w:rPr>
        <w:t xml:space="preserve">ach row of the </w:t>
      </w:r>
      <w:r>
        <w:rPr>
          <w:rFonts w:cstheme="minorHAnsi"/>
          <w:shd w:val="clear" w:color="auto" w:fill="FFFFFF"/>
        </w:rPr>
        <w:t xml:space="preserve">profiles.txt </w:t>
      </w:r>
      <w:r w:rsidRPr="00560DEB">
        <w:rPr>
          <w:rFonts w:cstheme="minorHAnsi"/>
          <w:shd w:val="clear" w:color="auto" w:fill="FFFFFF"/>
        </w:rPr>
        <w:t xml:space="preserve">file corresponds to the allelic profile of a given </w:t>
      </w:r>
      <w:proofErr w:type="spellStart"/>
      <w:r w:rsidRPr="00560DEB">
        <w:rPr>
          <w:rFonts w:cstheme="minorHAnsi"/>
          <w:shd w:val="clear" w:color="auto" w:fill="FFFFFF"/>
        </w:rPr>
        <w:t>rST</w:t>
      </w:r>
      <w:proofErr w:type="spellEnd"/>
      <w:r w:rsidRPr="00560DEB">
        <w:rPr>
          <w:rFonts w:cstheme="minorHAnsi"/>
          <w:shd w:val="clear" w:color="auto" w:fill="FFFFFF"/>
        </w:rPr>
        <w:t xml:space="preserve">. For a given profile, numbers in the row indicate the allele expected across the 53 </w:t>
      </w:r>
      <w:proofErr w:type="spellStart"/>
      <w:r w:rsidRPr="00560DEB">
        <w:rPr>
          <w:rFonts w:cstheme="minorHAnsi"/>
          <w:shd w:val="clear" w:color="auto" w:fill="FFFFFF"/>
        </w:rPr>
        <w:t>rMLST</w:t>
      </w:r>
      <w:proofErr w:type="spellEnd"/>
      <w:r w:rsidRPr="00560DEB">
        <w:rPr>
          <w:rFonts w:cstheme="minorHAnsi"/>
          <w:shd w:val="clear" w:color="auto" w:fill="FFFFFF"/>
        </w:rPr>
        <w:t xml:space="preserve"> loci (corresponding to the 53 columns headed “BACTXXXXXX” in the file). In certain cases, rather than a number, there is an ‘N’. This may indicate that the locus is routinely missing for the species associated with the profile of interest (</w:t>
      </w:r>
      <w:proofErr w:type="gramStart"/>
      <w:r w:rsidRPr="00560DEB">
        <w:rPr>
          <w:rFonts w:cstheme="minorHAnsi"/>
          <w:shd w:val="clear" w:color="auto" w:fill="FFFFFF"/>
        </w:rPr>
        <w:t>e.g.</w:t>
      </w:r>
      <w:proofErr w:type="gramEnd"/>
      <w:r w:rsidRPr="00560DEB">
        <w:rPr>
          <w:rFonts w:cstheme="minorHAnsi"/>
          <w:shd w:val="clear" w:color="auto" w:fill="FFFFFF"/>
        </w:rPr>
        <w:t xml:space="preserve"> locus BACT000059 in Campylobacter). Alternatively, it indicates that the locus is commonly represented by multiple alleles (due to paralogy), either in the species associated with the profile, or in at least one congeneric species (since start sites of alleles are usually defined by initially aligning sequences from multiple species within a genus) (Keith Jolley, personal communication).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75B"/>
    <w:multiLevelType w:val="multilevel"/>
    <w:tmpl w:val="CCD8129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245"/>
    <w:rsid w:val="000C0936"/>
    <w:rsid w:val="00147861"/>
    <w:rsid w:val="0015164B"/>
    <w:rsid w:val="00364D43"/>
    <w:rsid w:val="006A4C31"/>
    <w:rsid w:val="008914E9"/>
    <w:rsid w:val="008B6182"/>
    <w:rsid w:val="00C86828"/>
    <w:rsid w:val="00CE64F8"/>
    <w:rsid w:val="00DE6CB3"/>
    <w:rsid w:val="00E241EB"/>
    <w:rsid w:val="00EA1D05"/>
    <w:rsid w:val="00F86DE6"/>
    <w:rsid w:val="00FA72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4AD92"/>
  <w15:chartTrackingRefBased/>
  <w15:docId w15:val="{3937EDA0-E917-448D-BF75-ACF63F6F3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245"/>
    <w:rPr>
      <w:rFonts w:eastAsiaTheme="minorEastAsia"/>
    </w:rPr>
  </w:style>
  <w:style w:type="paragraph" w:styleId="Heading1">
    <w:name w:val="heading 1"/>
    <w:basedOn w:val="Normal"/>
    <w:next w:val="Normal"/>
    <w:link w:val="Heading1Char"/>
    <w:uiPriority w:val="9"/>
    <w:qFormat/>
    <w:rsid w:val="008914E9"/>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color w:val="000000" w:themeColor="text1"/>
      <w:sz w:val="36"/>
      <w:szCs w:val="36"/>
    </w:rPr>
  </w:style>
  <w:style w:type="paragraph" w:styleId="Heading2">
    <w:name w:val="heading 2"/>
    <w:basedOn w:val="Normal"/>
    <w:next w:val="Normal"/>
    <w:link w:val="Heading2Char"/>
    <w:uiPriority w:val="9"/>
    <w:unhideWhenUsed/>
    <w:qFormat/>
    <w:rsid w:val="008914E9"/>
    <w:pPr>
      <w:keepNext/>
      <w:keepLines/>
      <w:numPr>
        <w:ilvl w:val="1"/>
        <w:numId w:val="1"/>
      </w:numPr>
      <w:spacing w:before="360" w:after="0"/>
      <w:outlineLvl w:val="1"/>
    </w:pPr>
    <w:rPr>
      <w:rFonts w:asciiTheme="majorHAnsi" w:eastAsiaTheme="majorEastAsia" w:hAnsiTheme="majorHAnsi" w:cstheme="majorBidi"/>
      <w:b/>
      <w:bCs/>
      <w:color w:val="000000" w:themeColor="text1"/>
      <w:sz w:val="28"/>
      <w:szCs w:val="28"/>
    </w:rPr>
  </w:style>
  <w:style w:type="paragraph" w:styleId="Heading3">
    <w:name w:val="heading 3"/>
    <w:basedOn w:val="Normal"/>
    <w:next w:val="Normal"/>
    <w:link w:val="Heading3Char"/>
    <w:uiPriority w:val="9"/>
    <w:unhideWhenUsed/>
    <w:qFormat/>
    <w:rsid w:val="008914E9"/>
    <w:pPr>
      <w:keepNext/>
      <w:keepLines/>
      <w:numPr>
        <w:ilvl w:val="2"/>
        <w:numId w:val="1"/>
      </w:numPr>
      <w:spacing w:before="200" w:after="0"/>
      <w:outlineLvl w:val="2"/>
    </w:pPr>
    <w:rPr>
      <w:rFonts w:asciiTheme="majorHAnsi" w:eastAsiaTheme="majorEastAsia" w:hAnsiTheme="majorHAnsi" w:cstheme="majorBidi"/>
      <w:b/>
      <w:bCs/>
      <w:color w:val="000000" w:themeColor="text1"/>
      <w:sz w:val="24"/>
    </w:rPr>
  </w:style>
  <w:style w:type="paragraph" w:styleId="Heading4">
    <w:name w:val="heading 4"/>
    <w:basedOn w:val="Normal"/>
    <w:next w:val="Normal"/>
    <w:link w:val="Heading4Char"/>
    <w:uiPriority w:val="9"/>
    <w:unhideWhenUsed/>
    <w:qFormat/>
    <w:rsid w:val="008914E9"/>
    <w:pPr>
      <w:keepNext/>
      <w:keepLines/>
      <w:numPr>
        <w:ilvl w:val="3"/>
        <w:numId w:val="1"/>
      </w:numPr>
      <w:spacing w:before="200" w:after="0"/>
      <w:outlineLvl w:val="3"/>
    </w:pPr>
    <w:rPr>
      <w:rFonts w:asciiTheme="majorHAnsi" w:eastAsiaTheme="majorEastAsia" w:hAnsiTheme="majorHAnsi" w:cstheme="majorBidi"/>
      <w:b/>
      <w:bCs/>
      <w:iCs/>
      <w:color w:val="000000" w:themeColor="text1"/>
    </w:rPr>
  </w:style>
  <w:style w:type="paragraph" w:styleId="Heading5">
    <w:name w:val="heading 5"/>
    <w:basedOn w:val="Normal"/>
    <w:next w:val="Normal"/>
    <w:link w:val="Heading5Char"/>
    <w:uiPriority w:val="9"/>
    <w:semiHidden/>
    <w:unhideWhenUsed/>
    <w:qFormat/>
    <w:rsid w:val="008914E9"/>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8914E9"/>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8914E9"/>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914E9"/>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914E9"/>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FA7245"/>
    <w:pPr>
      <w:spacing w:after="200" w:line="240" w:lineRule="auto"/>
    </w:pPr>
    <w:rPr>
      <w:iCs/>
      <w:sz w:val="20"/>
      <w:szCs w:val="18"/>
    </w:rPr>
  </w:style>
  <w:style w:type="character" w:styleId="Hyperlink">
    <w:name w:val="Hyperlink"/>
    <w:basedOn w:val="DefaultParagraphFont"/>
    <w:uiPriority w:val="99"/>
    <w:unhideWhenUsed/>
    <w:rsid w:val="00FA7245"/>
    <w:rPr>
      <w:color w:val="0000FF"/>
      <w:u w:val="single"/>
    </w:rPr>
  </w:style>
  <w:style w:type="paragraph" w:styleId="FootnoteText">
    <w:name w:val="footnote text"/>
    <w:basedOn w:val="Normal"/>
    <w:link w:val="FootnoteTextChar"/>
    <w:uiPriority w:val="99"/>
    <w:semiHidden/>
    <w:unhideWhenUsed/>
    <w:rsid w:val="00FA72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A7245"/>
    <w:rPr>
      <w:rFonts w:eastAsiaTheme="minorEastAsia"/>
      <w:sz w:val="20"/>
      <w:szCs w:val="20"/>
    </w:rPr>
  </w:style>
  <w:style w:type="character" w:styleId="FootnoteReference">
    <w:name w:val="footnote reference"/>
    <w:basedOn w:val="DefaultParagraphFont"/>
    <w:uiPriority w:val="99"/>
    <w:semiHidden/>
    <w:unhideWhenUsed/>
    <w:rsid w:val="00FA7245"/>
    <w:rPr>
      <w:vertAlign w:val="superscript"/>
    </w:rPr>
  </w:style>
  <w:style w:type="character" w:customStyle="1" w:styleId="Heading1Char">
    <w:name w:val="Heading 1 Char"/>
    <w:basedOn w:val="DefaultParagraphFont"/>
    <w:link w:val="Heading1"/>
    <w:uiPriority w:val="9"/>
    <w:rsid w:val="008914E9"/>
    <w:rPr>
      <w:rFonts w:asciiTheme="majorHAnsi" w:eastAsiaTheme="majorEastAsia" w:hAnsiTheme="majorHAnsi" w:cstheme="majorBidi"/>
      <w:b/>
      <w:bCs/>
      <w:color w:val="000000" w:themeColor="text1"/>
      <w:sz w:val="36"/>
      <w:szCs w:val="36"/>
    </w:rPr>
  </w:style>
  <w:style w:type="character" w:customStyle="1" w:styleId="Heading2Char">
    <w:name w:val="Heading 2 Char"/>
    <w:basedOn w:val="DefaultParagraphFont"/>
    <w:link w:val="Heading2"/>
    <w:uiPriority w:val="9"/>
    <w:rsid w:val="008914E9"/>
    <w:rPr>
      <w:rFonts w:asciiTheme="majorHAnsi" w:eastAsiaTheme="majorEastAsia" w:hAnsiTheme="majorHAnsi" w:cstheme="majorBidi"/>
      <w:b/>
      <w:bCs/>
      <w:color w:val="000000" w:themeColor="text1"/>
      <w:sz w:val="28"/>
      <w:szCs w:val="28"/>
    </w:rPr>
  </w:style>
  <w:style w:type="character" w:customStyle="1" w:styleId="Heading3Char">
    <w:name w:val="Heading 3 Char"/>
    <w:basedOn w:val="DefaultParagraphFont"/>
    <w:link w:val="Heading3"/>
    <w:uiPriority w:val="9"/>
    <w:rsid w:val="008914E9"/>
    <w:rPr>
      <w:rFonts w:asciiTheme="majorHAnsi" w:eastAsiaTheme="majorEastAsia" w:hAnsiTheme="majorHAnsi" w:cstheme="majorBidi"/>
      <w:b/>
      <w:bCs/>
      <w:color w:val="000000" w:themeColor="text1"/>
      <w:sz w:val="24"/>
    </w:rPr>
  </w:style>
  <w:style w:type="character" w:customStyle="1" w:styleId="Heading4Char">
    <w:name w:val="Heading 4 Char"/>
    <w:basedOn w:val="DefaultParagraphFont"/>
    <w:link w:val="Heading4"/>
    <w:uiPriority w:val="9"/>
    <w:rsid w:val="008914E9"/>
    <w:rPr>
      <w:rFonts w:asciiTheme="majorHAnsi" w:eastAsiaTheme="majorEastAsia" w:hAnsiTheme="majorHAnsi" w:cstheme="majorBidi"/>
      <w:b/>
      <w:bCs/>
      <w:iCs/>
      <w:color w:val="000000" w:themeColor="text1"/>
    </w:rPr>
  </w:style>
  <w:style w:type="character" w:customStyle="1" w:styleId="Heading5Char">
    <w:name w:val="Heading 5 Char"/>
    <w:basedOn w:val="DefaultParagraphFont"/>
    <w:link w:val="Heading5"/>
    <w:uiPriority w:val="9"/>
    <w:semiHidden/>
    <w:rsid w:val="008914E9"/>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8914E9"/>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8914E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914E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914E9"/>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mlst.org/databas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github.com/AlexOrlek/bacterialBercow"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ithub.com/tseemann/mlst" TargetMode="Externa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5438</Words>
  <Characters>30997</Characters>
  <Application>Microsoft Office Word</Application>
  <DocSecurity>0</DocSecurity>
  <Lines>258</Lines>
  <Paragraphs>72</Paragraphs>
  <ScaleCrop>false</ScaleCrop>
  <Company/>
  <LinksUpToDate>false</LinksUpToDate>
  <CharactersWithSpaces>36363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Orlek</dc:creator>
  <cp:keywords/>
  <dc:description/>
  <cp:lastModifiedBy>Alex Orlek</cp:lastModifiedBy>
  <cp:revision>3</cp:revision>
  <dcterms:created xsi:type="dcterms:W3CDTF">2021-04-24T13:17:00Z</dcterms:created>
  <dcterms:modified xsi:type="dcterms:W3CDTF">2021-04-25T14:59:00Z</dcterms:modified>
</cp:coreProperties>
</file>